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adjustRightInd w:val="0"/>
        <w:snapToGrid w:val="0"/>
        <w:jc w:val="center"/>
        <w:outlineLvl w:val="0"/>
        <w:rPr>
          <w:rFonts w:eastAsia="方正小标宋_GBK"/>
          <w:bCs/>
          <w:color w:val="auto"/>
          <w:sz w:val="72"/>
          <w:szCs w:val="72"/>
        </w:rPr>
      </w:pPr>
      <w:r>
        <w:rPr>
          <w:rFonts w:eastAsia="方正小标宋_GBK"/>
          <w:bCs/>
          <w:color w:val="auto"/>
          <w:sz w:val="72"/>
          <w:szCs w:val="72"/>
        </w:rPr>
        <w:t>建设项目环境影响报告表</w:t>
      </w:r>
    </w:p>
    <w:p>
      <w:pPr>
        <w:adjustRightInd w:val="0"/>
        <w:snapToGrid w:val="0"/>
        <w:spacing w:beforeLines="80"/>
        <w:jc w:val="center"/>
        <w:rPr>
          <w:rFonts w:eastAsia="华文仿宋"/>
          <w:color w:val="auto"/>
          <w:kern w:val="44"/>
          <w:sz w:val="44"/>
          <w:szCs w:val="44"/>
        </w:rPr>
      </w:pPr>
      <w:r>
        <w:rPr>
          <w:rFonts w:eastAsia="楷体_GB2312"/>
          <w:bCs/>
          <w:color w:val="auto"/>
          <w:sz w:val="48"/>
          <w:szCs w:val="48"/>
        </w:rPr>
        <w:t>（污染影响类）</w:t>
      </w: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480" w:lineRule="auto"/>
        <w:ind w:left="2877" w:leftChars="513" w:hanging="1800" w:hangingChars="500"/>
        <w:rPr>
          <w:rFonts w:eastAsia="仿宋_GB2312"/>
          <w:color w:val="auto"/>
          <w:sz w:val="36"/>
          <w:szCs w:val="36"/>
          <w:u w:val="single"/>
        </w:rPr>
      </w:pPr>
      <w:r>
        <w:rPr>
          <w:rFonts w:eastAsia="仿宋_GB2312"/>
          <w:color w:val="auto"/>
          <w:sz w:val="36"/>
          <w:szCs w:val="36"/>
        </w:rPr>
        <w:t>项目名称：</w:t>
      </w:r>
      <w:r>
        <w:rPr>
          <w:rFonts w:hint="eastAsia" w:eastAsia="仿宋_GB2312"/>
          <w:color w:val="auto"/>
          <w:sz w:val="36"/>
          <w:szCs w:val="36"/>
          <w:u w:val="single"/>
        </w:rPr>
        <w:t>定边采油厂3</w:t>
      </w:r>
      <w:r>
        <w:rPr>
          <w:rFonts w:ascii="Arial" w:hAnsi="Arial" w:eastAsia="仿宋_GB2312" w:cs="Arial"/>
          <w:color w:val="auto"/>
          <w:sz w:val="36"/>
          <w:szCs w:val="36"/>
          <w:u w:val="single"/>
        </w:rPr>
        <w:t>×</w:t>
      </w:r>
      <w:r>
        <w:rPr>
          <w:rFonts w:hint="eastAsia" w:eastAsia="仿宋_GB2312"/>
          <w:color w:val="auto"/>
          <w:sz w:val="36"/>
          <w:szCs w:val="36"/>
          <w:u w:val="single"/>
        </w:rPr>
        <w:t xml:space="preserve">300m³/d移动式撬装污水处理站项目                       </w:t>
      </w:r>
    </w:p>
    <w:p>
      <w:pPr>
        <w:adjustRightInd w:val="0"/>
        <w:snapToGrid w:val="0"/>
        <w:spacing w:line="480" w:lineRule="auto"/>
        <w:ind w:left="210" w:leftChars="100" w:firstLine="775" w:firstLineChars="250"/>
        <w:rPr>
          <w:rFonts w:eastAsia="仿宋_GB2312"/>
          <w:color w:val="auto"/>
          <w:spacing w:val="-16"/>
          <w:w w:val="95"/>
          <w:sz w:val="36"/>
          <w:szCs w:val="36"/>
          <w:u w:val="single"/>
        </w:rPr>
      </w:pPr>
      <w:r>
        <w:rPr>
          <w:rFonts w:eastAsia="仿宋_GB2312"/>
          <w:color w:val="auto"/>
          <w:spacing w:val="-16"/>
          <w:w w:val="95"/>
          <w:sz w:val="36"/>
          <w:szCs w:val="36"/>
        </w:rPr>
        <w:t>建设单位（盖章）：</w:t>
      </w:r>
      <w:r>
        <w:rPr>
          <w:rFonts w:hint="eastAsia" w:eastAsia="仿宋_GB2312"/>
          <w:color w:val="auto"/>
          <w:w w:val="95"/>
          <w:sz w:val="36"/>
          <w:szCs w:val="36"/>
          <w:u w:val="single"/>
        </w:rPr>
        <w:t>延长油田股份有限公司定边采油厂</w:t>
      </w:r>
    </w:p>
    <w:p>
      <w:pPr>
        <w:spacing w:line="480" w:lineRule="auto"/>
        <w:ind w:firstLine="1080" w:firstLineChars="300"/>
        <w:rPr>
          <w:rFonts w:eastAsia="仿宋_GB2312"/>
          <w:color w:val="auto"/>
          <w:szCs w:val="21"/>
        </w:rPr>
      </w:pPr>
      <w:r>
        <w:rPr>
          <w:rFonts w:eastAsia="仿宋_GB2312"/>
          <w:color w:val="auto"/>
          <w:sz w:val="36"/>
          <w:szCs w:val="36"/>
        </w:rPr>
        <w:t>编制日期：</w:t>
      </w:r>
      <w:r>
        <w:rPr>
          <w:rFonts w:eastAsia="仿宋_GB2312"/>
          <w:color w:val="auto"/>
          <w:sz w:val="36"/>
          <w:szCs w:val="36"/>
          <w:u w:val="single"/>
        </w:rPr>
        <w:t xml:space="preserve">        </w:t>
      </w:r>
      <w:r>
        <w:rPr>
          <w:rFonts w:hint="eastAsia" w:eastAsia="仿宋_GB2312"/>
          <w:color w:val="auto"/>
          <w:sz w:val="36"/>
          <w:szCs w:val="36"/>
          <w:u w:val="single"/>
        </w:rPr>
        <w:t xml:space="preserve">  </w:t>
      </w:r>
      <w:r>
        <w:rPr>
          <w:rFonts w:eastAsia="仿宋_GB2312"/>
          <w:color w:val="auto"/>
          <w:sz w:val="36"/>
          <w:szCs w:val="36"/>
          <w:u w:val="single"/>
        </w:rPr>
        <w:t>202</w:t>
      </w:r>
      <w:r>
        <w:rPr>
          <w:rFonts w:hint="eastAsia" w:eastAsia="仿宋_GB2312"/>
          <w:color w:val="auto"/>
          <w:sz w:val="36"/>
          <w:szCs w:val="36"/>
          <w:u w:val="single"/>
        </w:rPr>
        <w:t>3</w:t>
      </w:r>
      <w:r>
        <w:rPr>
          <w:rFonts w:eastAsia="仿宋_GB2312"/>
          <w:color w:val="auto"/>
          <w:sz w:val="36"/>
          <w:szCs w:val="36"/>
          <w:u w:val="single"/>
        </w:rPr>
        <w:t>年</w:t>
      </w:r>
      <w:r>
        <w:rPr>
          <w:rFonts w:hint="eastAsia" w:eastAsia="仿宋_GB2312"/>
          <w:color w:val="auto"/>
          <w:sz w:val="36"/>
          <w:szCs w:val="36"/>
          <w:u w:val="single"/>
        </w:rPr>
        <w:t>11</w:t>
      </w:r>
      <w:r>
        <w:rPr>
          <w:rFonts w:eastAsia="仿宋_GB2312"/>
          <w:color w:val="auto"/>
          <w:sz w:val="36"/>
          <w:szCs w:val="36"/>
          <w:u w:val="single"/>
        </w:rPr>
        <w:t xml:space="preserve">月        </w:t>
      </w:r>
      <w:r>
        <w:rPr>
          <w:rFonts w:hint="eastAsia" w:eastAsia="仿宋_GB2312"/>
          <w:color w:val="auto"/>
          <w:sz w:val="36"/>
          <w:szCs w:val="36"/>
          <w:u w:val="single"/>
        </w:rPr>
        <w:t xml:space="preserve">  </w:t>
      </w:r>
      <w:r>
        <w:rPr>
          <w:rFonts w:eastAsia="仿宋_GB2312"/>
          <w:color w:val="auto"/>
          <w:sz w:val="36"/>
          <w:szCs w:val="36"/>
          <w:u w:val="single"/>
        </w:rPr>
        <w:t xml:space="preserve"> </w:t>
      </w:r>
      <w:r>
        <w:rPr>
          <w:rFonts w:hint="eastAsia" w:eastAsia="仿宋_GB2312"/>
          <w:color w:val="auto"/>
          <w:sz w:val="36"/>
          <w:szCs w:val="36"/>
          <w:u w:val="single"/>
        </w:rPr>
        <w:t xml:space="preserve"> </w:t>
      </w:r>
    </w:p>
    <w:p>
      <w:pPr>
        <w:rPr>
          <w:color w:val="auto"/>
        </w:rPr>
      </w:pPr>
    </w:p>
    <w:p>
      <w:pPr>
        <w:pStyle w:val="17"/>
        <w:rPr>
          <w:rFonts w:ascii="Times New Roman"/>
          <w:color w:val="auto"/>
        </w:rPr>
      </w:pPr>
    </w:p>
    <w:p>
      <w:pPr>
        <w:rPr>
          <w:color w:val="auto"/>
        </w:rPr>
      </w:pPr>
    </w:p>
    <w:p>
      <w:pPr>
        <w:pStyle w:val="17"/>
        <w:rPr>
          <w:rFonts w:ascii="Times New Roman"/>
          <w:color w:val="auto"/>
        </w:rPr>
      </w:pPr>
    </w:p>
    <w:p>
      <w:pPr>
        <w:rPr>
          <w:color w:val="auto"/>
        </w:rPr>
      </w:pPr>
    </w:p>
    <w:p>
      <w:pPr>
        <w:adjustRightInd w:val="0"/>
        <w:snapToGrid w:val="0"/>
        <w:spacing w:line="288" w:lineRule="auto"/>
        <w:jc w:val="center"/>
        <w:rPr>
          <w:rFonts w:eastAsia="仿宋_GB2312"/>
          <w:color w:val="auto"/>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r>
        <w:rPr>
          <w:rFonts w:eastAsia="楷体_GB2312"/>
          <w:color w:val="auto"/>
          <w:sz w:val="36"/>
          <w:szCs w:val="36"/>
        </w:rPr>
        <w:t>中华人民共和国生态环境部制</w:t>
      </w:r>
    </w:p>
    <w:p>
      <w:pPr>
        <w:pStyle w:val="30"/>
        <w:jc w:val="center"/>
        <w:outlineLvl w:val="0"/>
        <w:rPr>
          <w:rFonts w:ascii="Times New Roman" w:hAnsi="Times New Roman" w:eastAsia="黑体"/>
          <w:snapToGrid w:val="0"/>
          <w:color w:val="auto"/>
          <w:sz w:val="30"/>
          <w:szCs w:val="30"/>
        </w:rPr>
        <w:sectPr>
          <w:footerReference r:id="rId5" w:type="default"/>
          <w:pgSz w:w="11906" w:h="16838"/>
          <w:pgMar w:top="1701" w:right="1531" w:bottom="1701" w:left="1531" w:header="851" w:footer="1077" w:gutter="0"/>
          <w:cols w:space="720" w:num="1"/>
          <w:docGrid w:linePitch="312" w:charSpace="0"/>
        </w:sectPr>
      </w:pPr>
    </w:p>
    <w:p>
      <w:pPr>
        <w:pStyle w:val="3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27"/>
        <w:gridCol w:w="2792"/>
        <w:gridCol w:w="1898"/>
        <w:gridCol w:w="29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7" w:type="dxa"/>
            <w:tcMar>
              <w:top w:w="16" w:type="dxa"/>
              <w:left w:w="16" w:type="dxa"/>
              <w:right w:w="16" w:type="dxa"/>
            </w:tcMar>
            <w:vAlign w:val="center"/>
          </w:tcPr>
          <w:p>
            <w:pPr>
              <w:adjustRightInd w:val="0"/>
              <w:snapToGrid w:val="0"/>
              <w:spacing w:line="270" w:lineRule="exact"/>
              <w:jc w:val="center"/>
              <w:rPr>
                <w:color w:val="auto"/>
                <w:sz w:val="24"/>
              </w:rPr>
            </w:pPr>
            <w:r>
              <w:rPr>
                <w:color w:val="auto"/>
                <w:sz w:val="24"/>
              </w:rPr>
              <w:t>建设项目名称</w:t>
            </w:r>
          </w:p>
        </w:tc>
        <w:tc>
          <w:tcPr>
            <w:tcW w:w="7643" w:type="dxa"/>
            <w:gridSpan w:val="3"/>
            <w:vAlign w:val="center"/>
          </w:tcPr>
          <w:p>
            <w:pPr>
              <w:spacing w:line="270" w:lineRule="exact"/>
              <w:jc w:val="center"/>
              <w:rPr>
                <w:color w:val="auto"/>
                <w:sz w:val="24"/>
              </w:rPr>
            </w:pPr>
            <w:r>
              <w:rPr>
                <w:color w:val="auto"/>
                <w:sz w:val="24"/>
              </w:rPr>
              <w:t>定边采油厂3×300m³/d移动式撬装污水处理站项目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7" w:type="dxa"/>
            <w:tcMar>
              <w:top w:w="16" w:type="dxa"/>
              <w:left w:w="16" w:type="dxa"/>
              <w:right w:w="16" w:type="dxa"/>
            </w:tcMar>
            <w:vAlign w:val="center"/>
          </w:tcPr>
          <w:p>
            <w:pPr>
              <w:adjustRightInd w:val="0"/>
              <w:snapToGrid w:val="0"/>
              <w:spacing w:line="270" w:lineRule="exact"/>
              <w:jc w:val="center"/>
              <w:rPr>
                <w:color w:val="auto"/>
                <w:sz w:val="24"/>
              </w:rPr>
            </w:pPr>
            <w:r>
              <w:rPr>
                <w:color w:val="auto"/>
                <w:sz w:val="24"/>
              </w:rPr>
              <w:t>项目代码</w:t>
            </w:r>
          </w:p>
        </w:tc>
        <w:tc>
          <w:tcPr>
            <w:tcW w:w="7643" w:type="dxa"/>
            <w:gridSpan w:val="3"/>
            <w:vAlign w:val="center"/>
          </w:tcPr>
          <w:p>
            <w:pPr>
              <w:adjustRightInd w:val="0"/>
              <w:snapToGrid w:val="0"/>
              <w:spacing w:line="270" w:lineRule="exact"/>
              <w:jc w:val="center"/>
              <w:rPr>
                <w:color w:val="auto"/>
                <w:sz w:val="24"/>
              </w:rPr>
            </w:pPr>
            <w:r>
              <w:rPr>
                <w:rFonts w:hint="eastAsia"/>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7" w:type="dxa"/>
            <w:tcMar>
              <w:top w:w="16" w:type="dxa"/>
              <w:left w:w="16" w:type="dxa"/>
              <w:right w:w="16" w:type="dxa"/>
            </w:tcMar>
            <w:vAlign w:val="center"/>
          </w:tcPr>
          <w:p>
            <w:pPr>
              <w:spacing w:line="270" w:lineRule="exact"/>
              <w:jc w:val="center"/>
              <w:rPr>
                <w:color w:val="auto"/>
                <w:sz w:val="24"/>
              </w:rPr>
            </w:pPr>
            <w:r>
              <w:rPr>
                <w:color w:val="auto"/>
                <w:sz w:val="24"/>
              </w:rPr>
              <w:t>建设单位联系人</w:t>
            </w:r>
          </w:p>
        </w:tc>
        <w:tc>
          <w:tcPr>
            <w:tcW w:w="2792" w:type="dxa"/>
            <w:vAlign w:val="center"/>
          </w:tcPr>
          <w:p>
            <w:pPr>
              <w:adjustRightInd w:val="0"/>
              <w:snapToGrid w:val="0"/>
              <w:spacing w:line="270" w:lineRule="exact"/>
              <w:jc w:val="center"/>
              <w:rPr>
                <w:color w:val="auto"/>
                <w:sz w:val="24"/>
              </w:rPr>
            </w:pPr>
            <w:r>
              <w:rPr>
                <w:rFonts w:hint="eastAsia"/>
                <w:color w:val="auto"/>
                <w:sz w:val="24"/>
              </w:rPr>
              <w:t>常乐</w:t>
            </w:r>
          </w:p>
        </w:tc>
        <w:tc>
          <w:tcPr>
            <w:tcW w:w="1898" w:type="dxa"/>
            <w:vAlign w:val="center"/>
          </w:tcPr>
          <w:p>
            <w:pPr>
              <w:adjustRightInd w:val="0"/>
              <w:snapToGrid w:val="0"/>
              <w:spacing w:line="270" w:lineRule="exact"/>
              <w:jc w:val="center"/>
              <w:rPr>
                <w:color w:val="auto"/>
                <w:sz w:val="24"/>
              </w:rPr>
            </w:pPr>
            <w:r>
              <w:rPr>
                <w:color w:val="auto"/>
                <w:sz w:val="24"/>
              </w:rPr>
              <w:t>联系方式</w:t>
            </w:r>
          </w:p>
        </w:tc>
        <w:tc>
          <w:tcPr>
            <w:tcW w:w="2953" w:type="dxa"/>
            <w:vAlign w:val="center"/>
          </w:tcPr>
          <w:p>
            <w:pPr>
              <w:adjustRightInd w:val="0"/>
              <w:snapToGrid w:val="0"/>
              <w:spacing w:line="270" w:lineRule="exact"/>
              <w:jc w:val="center"/>
              <w:rPr>
                <w:color w:val="auto"/>
                <w:sz w:val="24"/>
              </w:rPr>
            </w:pPr>
            <w:r>
              <w:rPr>
                <w:rFonts w:hint="eastAsia"/>
                <w:color w:val="auto"/>
                <w:sz w:val="24"/>
              </w:rPr>
              <w:t>0912-</w:t>
            </w:r>
            <w:r>
              <w:rPr>
                <w:color w:val="auto"/>
                <w:sz w:val="24"/>
              </w:rPr>
              <w:t>4289852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86" w:hRule="atLeast"/>
          <w:jc w:val="center"/>
        </w:trPr>
        <w:tc>
          <w:tcPr>
            <w:tcW w:w="1227" w:type="dxa"/>
            <w:tcMar>
              <w:top w:w="16" w:type="dxa"/>
              <w:left w:w="16" w:type="dxa"/>
              <w:right w:w="16" w:type="dxa"/>
            </w:tcMar>
            <w:vAlign w:val="center"/>
          </w:tcPr>
          <w:p>
            <w:pPr>
              <w:adjustRightInd w:val="0"/>
              <w:snapToGrid w:val="0"/>
              <w:spacing w:line="270" w:lineRule="exact"/>
              <w:jc w:val="center"/>
              <w:rPr>
                <w:color w:val="auto"/>
                <w:sz w:val="24"/>
              </w:rPr>
            </w:pPr>
            <w:r>
              <w:rPr>
                <w:color w:val="auto"/>
                <w:sz w:val="24"/>
              </w:rPr>
              <w:t>建设地点</w:t>
            </w:r>
          </w:p>
        </w:tc>
        <w:tc>
          <w:tcPr>
            <w:tcW w:w="7643" w:type="dxa"/>
            <w:gridSpan w:val="3"/>
            <w:vAlign w:val="center"/>
          </w:tcPr>
          <w:p>
            <w:pPr>
              <w:adjustRightInd w:val="0"/>
              <w:snapToGrid w:val="0"/>
              <w:spacing w:line="270" w:lineRule="exact"/>
              <w:jc w:val="center"/>
              <w:rPr>
                <w:color w:val="auto"/>
                <w:sz w:val="24"/>
              </w:rPr>
            </w:pPr>
            <w:r>
              <w:rPr>
                <w:color w:val="auto"/>
                <w:sz w:val="24"/>
              </w:rPr>
              <w:t>陕西省榆林市定边县</w:t>
            </w:r>
            <w:r>
              <w:rPr>
                <w:rFonts w:hint="eastAsia"/>
                <w:color w:val="auto"/>
                <w:sz w:val="24"/>
              </w:rPr>
              <w:t>油房庄乡</w:t>
            </w:r>
            <w:r>
              <w:rPr>
                <w:color w:val="auto"/>
                <w:sz w:val="24"/>
              </w:rPr>
              <w:t>韩渠</w:t>
            </w:r>
            <w:r>
              <w:rPr>
                <w:rFonts w:hint="eastAsia"/>
                <w:color w:val="auto"/>
                <w:sz w:val="24"/>
              </w:rPr>
              <w:t>村（</w:t>
            </w:r>
            <w:r>
              <w:rPr>
                <w:color w:val="auto"/>
                <w:sz w:val="24"/>
              </w:rPr>
              <w:t>东仁沟采油队韩渠油区定2511</w:t>
            </w:r>
            <w:r>
              <w:rPr>
                <w:rFonts w:hint="eastAsia"/>
                <w:color w:val="auto"/>
                <w:sz w:val="24"/>
              </w:rPr>
              <w:t>站场）</w:t>
            </w:r>
          </w:p>
          <w:p>
            <w:pPr>
              <w:adjustRightInd w:val="0"/>
              <w:snapToGrid w:val="0"/>
              <w:spacing w:line="270" w:lineRule="exact"/>
              <w:jc w:val="center"/>
              <w:rPr>
                <w:color w:val="auto"/>
                <w:sz w:val="24"/>
              </w:rPr>
            </w:pPr>
            <w:r>
              <w:rPr>
                <w:color w:val="auto"/>
                <w:sz w:val="24"/>
              </w:rPr>
              <w:t>陕西省榆林市定边县</w:t>
            </w:r>
            <w:r>
              <w:rPr>
                <w:rFonts w:hint="eastAsia"/>
                <w:color w:val="auto"/>
                <w:sz w:val="24"/>
              </w:rPr>
              <w:t>贺圈镇</w:t>
            </w:r>
            <w:r>
              <w:rPr>
                <w:color w:val="auto"/>
                <w:sz w:val="24"/>
              </w:rPr>
              <w:t>五兴庄</w:t>
            </w:r>
            <w:r>
              <w:rPr>
                <w:rFonts w:hint="eastAsia"/>
                <w:color w:val="auto"/>
                <w:sz w:val="24"/>
              </w:rPr>
              <w:t>村（</w:t>
            </w:r>
            <w:r>
              <w:rPr>
                <w:color w:val="auto"/>
                <w:sz w:val="24"/>
              </w:rPr>
              <w:t>五兴庄采油队五兴庄油区定3270</w:t>
            </w:r>
            <w:r>
              <w:rPr>
                <w:rFonts w:hint="eastAsia"/>
                <w:color w:val="auto"/>
                <w:sz w:val="24"/>
              </w:rPr>
              <w:t>站场）</w:t>
            </w:r>
          </w:p>
          <w:p>
            <w:pPr>
              <w:adjustRightInd w:val="0"/>
              <w:snapToGrid w:val="0"/>
              <w:spacing w:line="270" w:lineRule="exact"/>
              <w:jc w:val="center"/>
              <w:rPr>
                <w:color w:val="auto"/>
                <w:sz w:val="24"/>
              </w:rPr>
            </w:pPr>
            <w:r>
              <w:rPr>
                <w:color w:val="auto"/>
                <w:sz w:val="24"/>
              </w:rPr>
              <w:t>陕西省榆林市定边县</w:t>
            </w:r>
            <w:r>
              <w:rPr>
                <w:rFonts w:hint="eastAsia"/>
                <w:color w:val="auto"/>
                <w:sz w:val="24"/>
                <w:lang w:eastAsia="zh-CN"/>
              </w:rPr>
              <w:t>白马崾岘</w:t>
            </w:r>
            <w:r>
              <w:rPr>
                <w:color w:val="auto"/>
                <w:sz w:val="24"/>
              </w:rPr>
              <w:t>乡小涧湾</w:t>
            </w:r>
            <w:r>
              <w:rPr>
                <w:rFonts w:hint="eastAsia"/>
                <w:color w:val="auto"/>
                <w:sz w:val="24"/>
              </w:rPr>
              <w:t>村（</w:t>
            </w:r>
            <w:r>
              <w:rPr>
                <w:rFonts w:hint="eastAsia"/>
                <w:color w:val="auto"/>
                <w:sz w:val="24"/>
                <w:lang w:eastAsia="zh-CN"/>
              </w:rPr>
              <w:t>白马崾岘</w:t>
            </w:r>
            <w:r>
              <w:rPr>
                <w:color w:val="auto"/>
                <w:sz w:val="24"/>
              </w:rPr>
              <w:t>采油队小涧湾油区定</w:t>
            </w:r>
            <w:r>
              <w:rPr>
                <w:rFonts w:hint="eastAsia"/>
                <w:color w:val="auto"/>
                <w:sz w:val="24"/>
              </w:rPr>
              <w:t>4926-4站场）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7" w:type="dxa"/>
            <w:tcMar>
              <w:top w:w="16" w:type="dxa"/>
              <w:left w:w="16" w:type="dxa"/>
              <w:right w:w="16" w:type="dxa"/>
            </w:tcMar>
            <w:vAlign w:val="center"/>
          </w:tcPr>
          <w:p>
            <w:pPr>
              <w:adjustRightInd w:val="0"/>
              <w:snapToGrid w:val="0"/>
              <w:spacing w:line="270" w:lineRule="exact"/>
              <w:jc w:val="center"/>
              <w:rPr>
                <w:color w:val="auto"/>
                <w:sz w:val="24"/>
              </w:rPr>
            </w:pPr>
            <w:r>
              <w:rPr>
                <w:color w:val="auto"/>
                <w:sz w:val="24"/>
              </w:rPr>
              <w:t>地理坐标</w:t>
            </w:r>
          </w:p>
        </w:tc>
        <w:tc>
          <w:tcPr>
            <w:tcW w:w="7643" w:type="dxa"/>
            <w:gridSpan w:val="3"/>
            <w:vAlign w:val="center"/>
          </w:tcPr>
          <w:p>
            <w:pPr>
              <w:adjustRightInd w:val="0"/>
              <w:snapToGrid w:val="0"/>
              <w:spacing w:line="270" w:lineRule="exact"/>
              <w:jc w:val="center"/>
              <w:rPr>
                <w:color w:val="auto"/>
                <w:sz w:val="24"/>
              </w:rPr>
            </w:pPr>
            <w:r>
              <w:rPr>
                <w:color w:val="auto"/>
                <w:sz w:val="24"/>
              </w:rPr>
              <w:t>定2511</w:t>
            </w:r>
            <w:r>
              <w:rPr>
                <w:rFonts w:hint="eastAsia"/>
                <w:color w:val="auto"/>
                <w:sz w:val="24"/>
              </w:rPr>
              <w:t>站场</w:t>
            </w:r>
            <w:r>
              <w:rPr>
                <w:color w:val="auto"/>
                <w:sz w:val="24"/>
              </w:rPr>
              <w:t>（3</w:t>
            </w:r>
            <w:r>
              <w:rPr>
                <w:rFonts w:hint="eastAsia"/>
                <w:color w:val="auto"/>
                <w:sz w:val="24"/>
              </w:rPr>
              <w:t>7</w:t>
            </w:r>
            <w:r>
              <w:rPr>
                <w:color w:val="auto"/>
                <w:sz w:val="24"/>
              </w:rPr>
              <w:t>°</w:t>
            </w:r>
            <w:r>
              <w:rPr>
                <w:rFonts w:hint="eastAsia"/>
                <w:color w:val="auto"/>
                <w:sz w:val="24"/>
              </w:rPr>
              <w:t>23</w:t>
            </w:r>
            <w:r>
              <w:rPr>
                <w:color w:val="auto"/>
                <w:sz w:val="24"/>
              </w:rPr>
              <w:t>′</w:t>
            </w:r>
            <w:r>
              <w:rPr>
                <w:rFonts w:hint="eastAsia"/>
                <w:color w:val="auto"/>
                <w:sz w:val="24"/>
              </w:rPr>
              <w:t>5.384</w:t>
            </w:r>
            <w:r>
              <w:rPr>
                <w:color w:val="auto"/>
                <w:sz w:val="24"/>
              </w:rPr>
              <w:t>″N，1</w:t>
            </w:r>
            <w:r>
              <w:rPr>
                <w:rFonts w:hint="eastAsia"/>
                <w:color w:val="auto"/>
                <w:sz w:val="24"/>
              </w:rPr>
              <w:t>07</w:t>
            </w:r>
            <w:r>
              <w:rPr>
                <w:color w:val="auto"/>
                <w:sz w:val="24"/>
              </w:rPr>
              <w:t>°4</w:t>
            </w:r>
            <w:r>
              <w:rPr>
                <w:rFonts w:hint="eastAsia"/>
                <w:color w:val="auto"/>
                <w:sz w:val="24"/>
              </w:rPr>
              <w:t>9</w:t>
            </w:r>
            <w:r>
              <w:rPr>
                <w:color w:val="auto"/>
                <w:sz w:val="24"/>
              </w:rPr>
              <w:t>′</w:t>
            </w:r>
            <w:r>
              <w:rPr>
                <w:rFonts w:hint="eastAsia"/>
                <w:color w:val="auto"/>
                <w:sz w:val="24"/>
              </w:rPr>
              <w:t>21.270</w:t>
            </w:r>
            <w:r>
              <w:rPr>
                <w:color w:val="auto"/>
                <w:sz w:val="24"/>
              </w:rPr>
              <w:t>″E）</w:t>
            </w:r>
          </w:p>
          <w:p>
            <w:pPr>
              <w:adjustRightInd w:val="0"/>
              <w:snapToGrid w:val="0"/>
              <w:spacing w:line="270" w:lineRule="exact"/>
              <w:jc w:val="center"/>
              <w:rPr>
                <w:color w:val="auto"/>
                <w:sz w:val="24"/>
              </w:rPr>
            </w:pPr>
            <w:r>
              <w:rPr>
                <w:color w:val="auto"/>
                <w:sz w:val="24"/>
              </w:rPr>
              <w:t>定3270</w:t>
            </w:r>
            <w:r>
              <w:rPr>
                <w:rFonts w:hint="eastAsia"/>
                <w:color w:val="auto"/>
                <w:sz w:val="24"/>
              </w:rPr>
              <w:t>站场</w:t>
            </w:r>
            <w:r>
              <w:rPr>
                <w:color w:val="auto"/>
                <w:sz w:val="24"/>
              </w:rPr>
              <w:t>（3</w:t>
            </w:r>
            <w:r>
              <w:rPr>
                <w:rFonts w:hint="eastAsia"/>
                <w:color w:val="auto"/>
                <w:sz w:val="24"/>
              </w:rPr>
              <w:t>7</w:t>
            </w:r>
            <w:r>
              <w:rPr>
                <w:color w:val="auto"/>
                <w:sz w:val="24"/>
              </w:rPr>
              <w:t>°</w:t>
            </w:r>
            <w:r>
              <w:rPr>
                <w:rFonts w:hint="eastAsia"/>
                <w:color w:val="auto"/>
                <w:sz w:val="24"/>
              </w:rPr>
              <w:t>26</w:t>
            </w:r>
            <w:r>
              <w:rPr>
                <w:color w:val="auto"/>
                <w:sz w:val="24"/>
              </w:rPr>
              <w:t>′</w:t>
            </w:r>
            <w:r>
              <w:rPr>
                <w:rFonts w:hint="eastAsia"/>
                <w:color w:val="auto"/>
                <w:sz w:val="24"/>
              </w:rPr>
              <w:t>27.561</w:t>
            </w:r>
            <w:r>
              <w:rPr>
                <w:color w:val="auto"/>
                <w:sz w:val="24"/>
              </w:rPr>
              <w:t>″N，1</w:t>
            </w:r>
            <w:r>
              <w:rPr>
                <w:rFonts w:hint="eastAsia"/>
                <w:color w:val="auto"/>
                <w:sz w:val="24"/>
              </w:rPr>
              <w:t>07</w:t>
            </w:r>
            <w:r>
              <w:rPr>
                <w:color w:val="auto"/>
                <w:sz w:val="24"/>
              </w:rPr>
              <w:t>°</w:t>
            </w:r>
            <w:r>
              <w:rPr>
                <w:rFonts w:hint="eastAsia"/>
                <w:color w:val="auto"/>
                <w:sz w:val="24"/>
              </w:rPr>
              <w:t>30</w:t>
            </w:r>
            <w:r>
              <w:rPr>
                <w:color w:val="auto"/>
                <w:sz w:val="24"/>
              </w:rPr>
              <w:t>′5</w:t>
            </w:r>
            <w:r>
              <w:rPr>
                <w:rFonts w:hint="eastAsia"/>
                <w:color w:val="auto"/>
                <w:sz w:val="24"/>
              </w:rPr>
              <w:t>7.646</w:t>
            </w:r>
            <w:r>
              <w:rPr>
                <w:color w:val="auto"/>
                <w:sz w:val="24"/>
              </w:rPr>
              <w:t>″E）</w:t>
            </w:r>
          </w:p>
          <w:p>
            <w:pPr>
              <w:adjustRightInd w:val="0"/>
              <w:snapToGrid w:val="0"/>
              <w:spacing w:line="270" w:lineRule="exact"/>
              <w:jc w:val="center"/>
              <w:rPr>
                <w:color w:val="auto"/>
                <w:sz w:val="24"/>
              </w:rPr>
            </w:pPr>
            <w:r>
              <w:rPr>
                <w:color w:val="auto"/>
                <w:sz w:val="24"/>
              </w:rPr>
              <w:t>定</w:t>
            </w:r>
            <w:r>
              <w:rPr>
                <w:rFonts w:hint="eastAsia"/>
                <w:color w:val="auto"/>
                <w:sz w:val="24"/>
              </w:rPr>
              <w:t>4926-4站场</w:t>
            </w:r>
            <w:r>
              <w:rPr>
                <w:color w:val="auto"/>
                <w:sz w:val="24"/>
              </w:rPr>
              <w:t>（3</w:t>
            </w:r>
            <w:r>
              <w:rPr>
                <w:rFonts w:hint="eastAsia"/>
                <w:color w:val="auto"/>
                <w:sz w:val="24"/>
              </w:rPr>
              <w:t>6</w:t>
            </w:r>
            <w:r>
              <w:rPr>
                <w:color w:val="auto"/>
                <w:sz w:val="24"/>
              </w:rPr>
              <w:t>°</w:t>
            </w:r>
            <w:r>
              <w:rPr>
                <w:rFonts w:hint="eastAsia"/>
                <w:color w:val="auto"/>
                <w:sz w:val="24"/>
              </w:rPr>
              <w:t>57</w:t>
            </w:r>
            <w:r>
              <w:rPr>
                <w:color w:val="auto"/>
                <w:sz w:val="24"/>
              </w:rPr>
              <w:t>′</w:t>
            </w:r>
            <w:r>
              <w:rPr>
                <w:rFonts w:hint="eastAsia"/>
                <w:color w:val="auto"/>
                <w:sz w:val="24"/>
              </w:rPr>
              <w:t>20.218</w:t>
            </w:r>
            <w:r>
              <w:rPr>
                <w:color w:val="auto"/>
                <w:sz w:val="24"/>
              </w:rPr>
              <w:t>″N，1</w:t>
            </w:r>
            <w:r>
              <w:rPr>
                <w:rFonts w:hint="eastAsia"/>
                <w:color w:val="auto"/>
                <w:sz w:val="24"/>
              </w:rPr>
              <w:t>07</w:t>
            </w:r>
            <w:r>
              <w:rPr>
                <w:color w:val="auto"/>
                <w:sz w:val="24"/>
              </w:rPr>
              <w:t>°</w:t>
            </w:r>
            <w:r>
              <w:rPr>
                <w:rFonts w:hint="eastAsia"/>
                <w:color w:val="auto"/>
                <w:sz w:val="24"/>
              </w:rPr>
              <w:t>37</w:t>
            </w:r>
            <w:r>
              <w:rPr>
                <w:color w:val="auto"/>
                <w:sz w:val="24"/>
              </w:rPr>
              <w:t>′</w:t>
            </w:r>
            <w:r>
              <w:rPr>
                <w:rFonts w:hint="eastAsia"/>
                <w:color w:val="auto"/>
                <w:sz w:val="24"/>
              </w:rPr>
              <w:t>19.837</w:t>
            </w:r>
            <w:r>
              <w:rPr>
                <w:color w:val="auto"/>
                <w:sz w:val="24"/>
              </w:rPr>
              <w:t>″E）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7" w:type="dxa"/>
            <w:tcMar>
              <w:top w:w="16" w:type="dxa"/>
              <w:left w:w="16" w:type="dxa"/>
              <w:right w:w="16" w:type="dxa"/>
            </w:tcMar>
            <w:vAlign w:val="center"/>
          </w:tcPr>
          <w:p>
            <w:pPr>
              <w:widowControl/>
              <w:jc w:val="center"/>
              <w:rPr>
                <w:color w:val="auto"/>
                <w:sz w:val="24"/>
              </w:rPr>
            </w:pPr>
            <w:r>
              <w:rPr>
                <w:color w:val="auto"/>
                <w:sz w:val="24"/>
              </w:rPr>
              <w:t>国民经济</w:t>
            </w:r>
          </w:p>
          <w:p>
            <w:pPr>
              <w:widowControl/>
              <w:jc w:val="center"/>
              <w:rPr>
                <w:color w:val="auto"/>
                <w:sz w:val="24"/>
              </w:rPr>
            </w:pPr>
            <w:r>
              <w:rPr>
                <w:color w:val="auto"/>
                <w:sz w:val="24"/>
              </w:rPr>
              <w:t>行业类别</w:t>
            </w:r>
          </w:p>
        </w:tc>
        <w:tc>
          <w:tcPr>
            <w:tcW w:w="2792" w:type="dxa"/>
            <w:vAlign w:val="center"/>
          </w:tcPr>
          <w:p>
            <w:pPr>
              <w:widowControl/>
              <w:jc w:val="center"/>
              <w:rPr>
                <w:color w:val="auto"/>
                <w:sz w:val="24"/>
              </w:rPr>
            </w:pPr>
            <w:r>
              <w:rPr>
                <w:rFonts w:hint="eastAsia"/>
                <w:color w:val="auto"/>
                <w:sz w:val="24"/>
              </w:rPr>
              <w:t>D4620污水处理及其再生利用</w:t>
            </w:r>
          </w:p>
        </w:tc>
        <w:tc>
          <w:tcPr>
            <w:tcW w:w="1898" w:type="dxa"/>
            <w:vAlign w:val="center"/>
          </w:tcPr>
          <w:p>
            <w:pPr>
              <w:adjustRightInd w:val="0"/>
              <w:snapToGrid w:val="0"/>
              <w:spacing w:line="270" w:lineRule="exact"/>
              <w:jc w:val="center"/>
              <w:rPr>
                <w:color w:val="auto"/>
                <w:sz w:val="24"/>
              </w:rPr>
            </w:pPr>
            <w:r>
              <w:rPr>
                <w:color w:val="auto"/>
                <w:sz w:val="24"/>
              </w:rPr>
              <w:t>建设项目</w:t>
            </w:r>
          </w:p>
          <w:p>
            <w:pPr>
              <w:adjustRightInd w:val="0"/>
              <w:snapToGrid w:val="0"/>
              <w:spacing w:line="270" w:lineRule="exact"/>
              <w:jc w:val="center"/>
              <w:rPr>
                <w:color w:val="auto"/>
                <w:sz w:val="24"/>
              </w:rPr>
            </w:pPr>
            <w:r>
              <w:rPr>
                <w:color w:val="auto"/>
                <w:sz w:val="24"/>
              </w:rPr>
              <w:t>行业类别</w:t>
            </w:r>
          </w:p>
        </w:tc>
        <w:tc>
          <w:tcPr>
            <w:tcW w:w="2953" w:type="dxa"/>
            <w:vAlign w:val="center"/>
          </w:tcPr>
          <w:p>
            <w:pPr>
              <w:widowControl/>
              <w:jc w:val="left"/>
              <w:rPr>
                <w:color w:val="auto"/>
                <w:sz w:val="24"/>
              </w:rPr>
            </w:pPr>
            <w:r>
              <w:rPr>
                <w:rFonts w:hint="eastAsia"/>
                <w:color w:val="auto"/>
                <w:sz w:val="24"/>
              </w:rPr>
              <w:t>四十三、水的生产和供应业95</w:t>
            </w:r>
            <w:r>
              <w:rPr>
                <w:color w:val="auto"/>
                <w:sz w:val="24"/>
              </w:rPr>
              <w:t>.</w:t>
            </w:r>
            <w:r>
              <w:rPr>
                <w:rFonts w:hint="eastAsia"/>
                <w:color w:val="auto"/>
                <w:sz w:val="24"/>
              </w:rPr>
              <w:t>污水处理及其再生利用，新建、扩建其他工业废水处理的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7" w:type="dxa"/>
            <w:tcMar>
              <w:top w:w="16" w:type="dxa"/>
              <w:left w:w="16" w:type="dxa"/>
              <w:right w:w="16" w:type="dxa"/>
            </w:tcMar>
            <w:vAlign w:val="center"/>
          </w:tcPr>
          <w:p>
            <w:pPr>
              <w:adjustRightInd w:val="0"/>
              <w:snapToGrid w:val="0"/>
              <w:spacing w:line="270" w:lineRule="exact"/>
              <w:jc w:val="center"/>
              <w:rPr>
                <w:color w:val="auto"/>
                <w:sz w:val="24"/>
              </w:rPr>
            </w:pPr>
            <w:r>
              <w:rPr>
                <w:color w:val="auto"/>
                <w:sz w:val="24"/>
              </w:rPr>
              <w:t>建设性质</w:t>
            </w:r>
          </w:p>
        </w:tc>
        <w:tc>
          <w:tcPr>
            <w:tcW w:w="2792" w:type="dxa"/>
            <w:vAlign w:val="center"/>
          </w:tcPr>
          <w:p>
            <w:pPr>
              <w:spacing w:line="270" w:lineRule="exact"/>
              <w:jc w:val="left"/>
              <w:rPr>
                <w:color w:val="auto"/>
                <w:sz w:val="24"/>
              </w:rPr>
            </w:pPr>
            <w:r>
              <w:rPr>
                <w:color w:val="auto"/>
                <w:sz w:val="24"/>
              </w:rPr>
              <w:sym w:font="Wingdings 2" w:char="00A3"/>
            </w:r>
            <w:r>
              <w:rPr>
                <w:color w:val="auto"/>
                <w:sz w:val="24"/>
              </w:rPr>
              <w:t>新建（迁建）</w:t>
            </w:r>
          </w:p>
          <w:p>
            <w:pPr>
              <w:spacing w:line="270" w:lineRule="exact"/>
              <w:jc w:val="left"/>
              <w:rPr>
                <w:color w:val="auto"/>
                <w:sz w:val="24"/>
              </w:rPr>
            </w:pPr>
            <w:r>
              <w:rPr>
                <w:color w:val="auto"/>
                <w:sz w:val="24"/>
              </w:rPr>
              <w:sym w:font="Wingdings 2" w:char="00A3"/>
            </w:r>
            <w:r>
              <w:rPr>
                <w:color w:val="auto"/>
                <w:sz w:val="24"/>
              </w:rPr>
              <w:t>改建</w:t>
            </w:r>
          </w:p>
          <w:p>
            <w:pPr>
              <w:spacing w:line="270" w:lineRule="exact"/>
              <w:jc w:val="left"/>
              <w:rPr>
                <w:color w:val="auto"/>
                <w:sz w:val="24"/>
              </w:rPr>
            </w:pPr>
            <w:r>
              <w:rPr>
                <w:color w:val="auto"/>
                <w:sz w:val="24"/>
              </w:rPr>
              <w:sym w:font="Wingdings 2" w:char="0052"/>
            </w:r>
            <w:r>
              <w:rPr>
                <w:color w:val="auto"/>
                <w:sz w:val="24"/>
              </w:rPr>
              <w:t>扩建</w:t>
            </w:r>
          </w:p>
          <w:p>
            <w:pPr>
              <w:spacing w:line="270" w:lineRule="exact"/>
              <w:jc w:val="left"/>
              <w:rPr>
                <w:color w:val="auto"/>
                <w:sz w:val="24"/>
              </w:rPr>
            </w:pPr>
            <w:r>
              <w:rPr>
                <w:rFonts w:eastAsia="方正仿宋简体"/>
                <w:color w:val="auto"/>
                <w:sz w:val="24"/>
              </w:rPr>
              <w:sym w:font="Wingdings 2" w:char="00A3"/>
            </w:r>
            <w:r>
              <w:rPr>
                <w:color w:val="auto"/>
                <w:sz w:val="24"/>
              </w:rPr>
              <w:t>技术改造</w:t>
            </w:r>
          </w:p>
        </w:tc>
        <w:tc>
          <w:tcPr>
            <w:tcW w:w="1898" w:type="dxa"/>
            <w:vAlign w:val="center"/>
          </w:tcPr>
          <w:p>
            <w:pPr>
              <w:adjustRightInd w:val="0"/>
              <w:snapToGrid w:val="0"/>
              <w:spacing w:line="270" w:lineRule="exact"/>
              <w:jc w:val="center"/>
              <w:rPr>
                <w:color w:val="auto"/>
                <w:sz w:val="24"/>
              </w:rPr>
            </w:pPr>
            <w:r>
              <w:rPr>
                <w:color w:val="auto"/>
                <w:sz w:val="24"/>
              </w:rPr>
              <w:t>建设项目</w:t>
            </w:r>
          </w:p>
          <w:p>
            <w:pPr>
              <w:adjustRightInd w:val="0"/>
              <w:snapToGrid w:val="0"/>
              <w:spacing w:line="270" w:lineRule="exact"/>
              <w:jc w:val="center"/>
              <w:rPr>
                <w:color w:val="auto"/>
                <w:sz w:val="24"/>
              </w:rPr>
            </w:pPr>
            <w:r>
              <w:rPr>
                <w:color w:val="auto"/>
                <w:sz w:val="24"/>
              </w:rPr>
              <w:t>申报情形</w:t>
            </w:r>
          </w:p>
        </w:tc>
        <w:tc>
          <w:tcPr>
            <w:tcW w:w="2953" w:type="dxa"/>
            <w:vAlign w:val="center"/>
          </w:tcPr>
          <w:p>
            <w:pPr>
              <w:spacing w:line="270" w:lineRule="exact"/>
              <w:jc w:val="left"/>
              <w:rPr>
                <w:color w:val="auto"/>
                <w:sz w:val="24"/>
              </w:rPr>
            </w:pPr>
            <w:r>
              <w:rPr>
                <w:rFonts w:eastAsia="方正仿宋简体"/>
                <w:color w:val="auto"/>
                <w:sz w:val="24"/>
              </w:rPr>
              <w:sym w:font="Wingdings 2" w:char="0052"/>
            </w:r>
            <w:r>
              <w:rPr>
                <w:color w:val="auto"/>
                <w:sz w:val="24"/>
              </w:rPr>
              <w:t>首次申报项目</w:t>
            </w:r>
          </w:p>
          <w:p>
            <w:pPr>
              <w:spacing w:line="270" w:lineRule="exact"/>
              <w:jc w:val="left"/>
              <w:rPr>
                <w:color w:val="auto"/>
                <w:sz w:val="24"/>
              </w:rPr>
            </w:pPr>
            <w:r>
              <w:rPr>
                <w:color w:val="auto"/>
                <w:sz w:val="24"/>
              </w:rPr>
              <w:sym w:font="Wingdings 2" w:char="00A3"/>
            </w:r>
            <w:r>
              <w:rPr>
                <w:color w:val="auto"/>
                <w:sz w:val="24"/>
              </w:rPr>
              <w:t>不予批准后再次申报项目</w:t>
            </w:r>
          </w:p>
          <w:p>
            <w:pPr>
              <w:spacing w:line="270" w:lineRule="exact"/>
              <w:jc w:val="left"/>
              <w:rPr>
                <w:color w:val="auto"/>
                <w:sz w:val="24"/>
              </w:rPr>
            </w:pPr>
            <w:r>
              <w:rPr>
                <w:color w:val="auto"/>
                <w:sz w:val="24"/>
              </w:rPr>
              <w:sym w:font="Wingdings 2" w:char="00A3"/>
            </w:r>
            <w:r>
              <w:rPr>
                <w:color w:val="auto"/>
                <w:sz w:val="24"/>
              </w:rPr>
              <w:t>超五年重新审核项目</w:t>
            </w:r>
          </w:p>
          <w:p>
            <w:pPr>
              <w:spacing w:line="270" w:lineRule="exact"/>
              <w:jc w:val="left"/>
              <w:rPr>
                <w:color w:val="auto"/>
                <w:sz w:val="24"/>
              </w:rPr>
            </w:pPr>
            <w:r>
              <w:rPr>
                <w:color w:val="auto"/>
                <w:sz w:val="24"/>
              </w:rPr>
              <w:sym w:font="Wingdings 2" w:char="00A3"/>
            </w: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7" w:type="dxa"/>
            <w:tcMar>
              <w:top w:w="16" w:type="dxa"/>
              <w:left w:w="16" w:type="dxa"/>
              <w:right w:w="16" w:type="dxa"/>
            </w:tcMar>
            <w:vAlign w:val="center"/>
          </w:tcPr>
          <w:p>
            <w:pPr>
              <w:adjustRightInd w:val="0"/>
              <w:snapToGrid w:val="0"/>
              <w:spacing w:line="270" w:lineRule="exact"/>
              <w:jc w:val="center"/>
              <w:rPr>
                <w:color w:val="auto"/>
                <w:sz w:val="24"/>
              </w:rPr>
            </w:pPr>
            <w:r>
              <w:rPr>
                <w:color w:val="auto"/>
                <w:sz w:val="24"/>
              </w:rPr>
              <w:t>项目审批（核准/</w:t>
            </w:r>
          </w:p>
          <w:p>
            <w:pPr>
              <w:adjustRightInd w:val="0"/>
              <w:snapToGrid w:val="0"/>
              <w:spacing w:line="270" w:lineRule="exact"/>
              <w:jc w:val="center"/>
              <w:rPr>
                <w:color w:val="auto"/>
                <w:sz w:val="24"/>
              </w:rPr>
            </w:pPr>
            <w:r>
              <w:rPr>
                <w:color w:val="auto"/>
                <w:sz w:val="24"/>
              </w:rPr>
              <w:t>备案）部门（选填）</w:t>
            </w:r>
          </w:p>
        </w:tc>
        <w:tc>
          <w:tcPr>
            <w:tcW w:w="2792" w:type="dxa"/>
            <w:vAlign w:val="center"/>
          </w:tcPr>
          <w:p>
            <w:pPr>
              <w:adjustRightInd w:val="0"/>
              <w:snapToGrid w:val="0"/>
              <w:spacing w:line="270" w:lineRule="exact"/>
              <w:jc w:val="center"/>
              <w:rPr>
                <w:color w:val="auto"/>
                <w:sz w:val="24"/>
              </w:rPr>
            </w:pPr>
            <w:r>
              <w:rPr>
                <w:color w:val="auto"/>
                <w:sz w:val="24"/>
              </w:rPr>
              <w:t>/</w:t>
            </w:r>
          </w:p>
        </w:tc>
        <w:tc>
          <w:tcPr>
            <w:tcW w:w="1898" w:type="dxa"/>
            <w:vAlign w:val="center"/>
          </w:tcPr>
          <w:p>
            <w:pPr>
              <w:adjustRightInd w:val="0"/>
              <w:snapToGrid w:val="0"/>
              <w:spacing w:line="270" w:lineRule="exact"/>
              <w:jc w:val="center"/>
              <w:rPr>
                <w:color w:val="auto"/>
                <w:sz w:val="24"/>
              </w:rPr>
            </w:pPr>
            <w:r>
              <w:rPr>
                <w:color w:val="auto"/>
                <w:sz w:val="24"/>
              </w:rPr>
              <w:t>项目审批（核准/</w:t>
            </w:r>
          </w:p>
          <w:p>
            <w:pPr>
              <w:adjustRightInd w:val="0"/>
              <w:snapToGrid w:val="0"/>
              <w:spacing w:line="270" w:lineRule="exact"/>
              <w:jc w:val="center"/>
              <w:rPr>
                <w:color w:val="auto"/>
                <w:sz w:val="24"/>
              </w:rPr>
            </w:pPr>
            <w:r>
              <w:rPr>
                <w:color w:val="auto"/>
                <w:sz w:val="24"/>
              </w:rPr>
              <w:t>备案）文号（选填）</w:t>
            </w:r>
          </w:p>
        </w:tc>
        <w:tc>
          <w:tcPr>
            <w:tcW w:w="2953" w:type="dxa"/>
            <w:vAlign w:val="center"/>
          </w:tcPr>
          <w:p>
            <w:pPr>
              <w:adjustRightInd w:val="0"/>
              <w:snapToGrid w:val="0"/>
              <w:spacing w:line="270" w:lineRule="exact"/>
              <w:jc w:val="center"/>
              <w:rPr>
                <w:color w:val="auto"/>
                <w:sz w:val="24"/>
              </w:rPr>
            </w:pP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7" w:type="dxa"/>
            <w:tcMar>
              <w:top w:w="16" w:type="dxa"/>
              <w:left w:w="16" w:type="dxa"/>
              <w:right w:w="16" w:type="dxa"/>
            </w:tcMar>
            <w:vAlign w:val="center"/>
          </w:tcPr>
          <w:p>
            <w:pPr>
              <w:adjustRightInd w:val="0"/>
              <w:snapToGrid w:val="0"/>
              <w:spacing w:line="270" w:lineRule="exact"/>
              <w:jc w:val="center"/>
              <w:rPr>
                <w:color w:val="auto"/>
                <w:sz w:val="24"/>
              </w:rPr>
            </w:pPr>
            <w:r>
              <w:rPr>
                <w:color w:val="auto"/>
                <w:sz w:val="24"/>
              </w:rPr>
              <w:t>总投资（万元）</w:t>
            </w:r>
          </w:p>
        </w:tc>
        <w:tc>
          <w:tcPr>
            <w:tcW w:w="2792" w:type="dxa"/>
            <w:vAlign w:val="center"/>
          </w:tcPr>
          <w:p>
            <w:pPr>
              <w:adjustRightInd w:val="0"/>
              <w:snapToGrid w:val="0"/>
              <w:spacing w:line="270" w:lineRule="exact"/>
              <w:jc w:val="center"/>
              <w:rPr>
                <w:color w:val="auto"/>
                <w:spacing w:val="-6"/>
                <w:sz w:val="24"/>
              </w:rPr>
            </w:pPr>
            <w:r>
              <w:rPr>
                <w:rFonts w:hint="eastAsia"/>
                <w:color w:val="auto"/>
                <w:spacing w:val="-6"/>
                <w:sz w:val="24"/>
              </w:rPr>
              <w:t>259.26</w:t>
            </w:r>
          </w:p>
        </w:tc>
        <w:tc>
          <w:tcPr>
            <w:tcW w:w="1898" w:type="dxa"/>
            <w:tcMar>
              <w:top w:w="16" w:type="dxa"/>
              <w:left w:w="16" w:type="dxa"/>
              <w:right w:w="16" w:type="dxa"/>
            </w:tcMar>
            <w:vAlign w:val="center"/>
          </w:tcPr>
          <w:p>
            <w:pPr>
              <w:adjustRightInd w:val="0"/>
              <w:snapToGrid w:val="0"/>
              <w:spacing w:line="270" w:lineRule="exact"/>
              <w:jc w:val="center"/>
              <w:rPr>
                <w:color w:val="auto"/>
                <w:spacing w:val="-6"/>
                <w:sz w:val="24"/>
              </w:rPr>
            </w:pPr>
            <w:r>
              <w:rPr>
                <w:color w:val="auto"/>
                <w:spacing w:val="-6"/>
                <w:sz w:val="24"/>
              </w:rPr>
              <w:t>环保投资（万元）</w:t>
            </w:r>
          </w:p>
        </w:tc>
        <w:tc>
          <w:tcPr>
            <w:tcW w:w="2953" w:type="dxa"/>
            <w:vAlign w:val="center"/>
          </w:tcPr>
          <w:p>
            <w:pPr>
              <w:adjustRightInd w:val="0"/>
              <w:snapToGrid w:val="0"/>
              <w:spacing w:line="270" w:lineRule="exact"/>
              <w:jc w:val="center"/>
              <w:rPr>
                <w:color w:val="auto"/>
                <w:spacing w:val="-6"/>
                <w:sz w:val="24"/>
              </w:rPr>
            </w:pPr>
            <w:r>
              <w:rPr>
                <w:rFonts w:hint="eastAsia"/>
                <w:color w:val="auto"/>
                <w:spacing w:val="-6"/>
                <w:sz w:val="24"/>
              </w:rPr>
              <w:t>37</w:t>
            </w:r>
            <w:r>
              <w:rPr>
                <w:color w:val="auto"/>
                <w:spacing w:val="-6"/>
                <w:sz w:val="24"/>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27" w:type="dxa"/>
            <w:tcMar>
              <w:top w:w="16" w:type="dxa"/>
              <w:left w:w="16" w:type="dxa"/>
              <w:right w:w="16" w:type="dxa"/>
            </w:tcMar>
            <w:vAlign w:val="center"/>
          </w:tcPr>
          <w:p>
            <w:pPr>
              <w:adjustRightInd w:val="0"/>
              <w:snapToGrid w:val="0"/>
              <w:spacing w:line="270" w:lineRule="exact"/>
              <w:jc w:val="center"/>
              <w:rPr>
                <w:color w:val="auto"/>
                <w:sz w:val="24"/>
              </w:rPr>
            </w:pPr>
            <w:r>
              <w:rPr>
                <w:color w:val="auto"/>
                <w:sz w:val="24"/>
              </w:rPr>
              <w:t>环保投资占比（%）</w:t>
            </w:r>
          </w:p>
        </w:tc>
        <w:tc>
          <w:tcPr>
            <w:tcW w:w="2792" w:type="dxa"/>
            <w:vAlign w:val="center"/>
          </w:tcPr>
          <w:p>
            <w:pPr>
              <w:adjustRightInd w:val="0"/>
              <w:snapToGrid w:val="0"/>
              <w:spacing w:line="270" w:lineRule="exact"/>
              <w:jc w:val="center"/>
              <w:rPr>
                <w:color w:val="auto"/>
                <w:sz w:val="24"/>
              </w:rPr>
            </w:pPr>
            <w:r>
              <w:rPr>
                <w:rFonts w:hint="eastAsia"/>
                <w:color w:val="auto"/>
                <w:sz w:val="24"/>
              </w:rPr>
              <w:t>14.46</w:t>
            </w:r>
          </w:p>
        </w:tc>
        <w:tc>
          <w:tcPr>
            <w:tcW w:w="1898" w:type="dxa"/>
            <w:tcMar>
              <w:top w:w="16" w:type="dxa"/>
              <w:left w:w="16" w:type="dxa"/>
              <w:right w:w="16" w:type="dxa"/>
            </w:tcMar>
            <w:vAlign w:val="center"/>
          </w:tcPr>
          <w:p>
            <w:pPr>
              <w:adjustRightInd w:val="0"/>
              <w:snapToGrid w:val="0"/>
              <w:spacing w:line="270" w:lineRule="exact"/>
              <w:jc w:val="center"/>
              <w:rPr>
                <w:color w:val="auto"/>
                <w:sz w:val="24"/>
              </w:rPr>
            </w:pPr>
            <w:r>
              <w:rPr>
                <w:color w:val="auto"/>
                <w:sz w:val="24"/>
              </w:rPr>
              <w:t>施工工期</w:t>
            </w:r>
          </w:p>
        </w:tc>
        <w:tc>
          <w:tcPr>
            <w:tcW w:w="2953" w:type="dxa"/>
            <w:vAlign w:val="center"/>
          </w:tcPr>
          <w:p>
            <w:pPr>
              <w:spacing w:line="270" w:lineRule="exact"/>
              <w:jc w:val="center"/>
              <w:rPr>
                <w:rFonts w:eastAsia="方正仿宋简体"/>
                <w:color w:val="auto"/>
                <w:sz w:val="24"/>
              </w:rPr>
            </w:pPr>
            <w:r>
              <w:rPr>
                <w:color w:val="auto"/>
                <w:sz w:val="24"/>
              </w:rPr>
              <w:t>30天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1227" w:type="dxa"/>
            <w:tcMar>
              <w:top w:w="16" w:type="dxa"/>
              <w:left w:w="16" w:type="dxa"/>
              <w:right w:w="16" w:type="dxa"/>
            </w:tcMar>
            <w:vAlign w:val="center"/>
          </w:tcPr>
          <w:p>
            <w:pPr>
              <w:adjustRightInd w:val="0"/>
              <w:snapToGrid w:val="0"/>
              <w:spacing w:line="270" w:lineRule="exact"/>
              <w:jc w:val="center"/>
              <w:rPr>
                <w:color w:val="auto"/>
                <w:sz w:val="24"/>
              </w:rPr>
            </w:pPr>
            <w:r>
              <w:rPr>
                <w:color w:val="auto"/>
                <w:sz w:val="24"/>
              </w:rPr>
              <w:t>是否开工建设</w:t>
            </w:r>
          </w:p>
        </w:tc>
        <w:tc>
          <w:tcPr>
            <w:tcW w:w="2792" w:type="dxa"/>
            <w:vAlign w:val="center"/>
          </w:tcPr>
          <w:p>
            <w:pPr>
              <w:adjustRightInd w:val="0"/>
              <w:snapToGrid w:val="0"/>
              <w:spacing w:line="270" w:lineRule="exact"/>
              <w:rPr>
                <w:color w:val="auto"/>
                <w:sz w:val="24"/>
              </w:rPr>
            </w:pPr>
            <w:r>
              <w:rPr>
                <w:color w:val="auto"/>
                <w:sz w:val="24"/>
              </w:rPr>
              <w:sym w:font="Wingdings 2" w:char="0052"/>
            </w:r>
            <w:r>
              <w:rPr>
                <w:color w:val="auto"/>
                <w:sz w:val="24"/>
              </w:rPr>
              <w:t>否</w:t>
            </w:r>
          </w:p>
          <w:p>
            <w:pPr>
              <w:adjustRightInd w:val="0"/>
              <w:snapToGrid w:val="0"/>
              <w:spacing w:afterLines="30" w:line="270" w:lineRule="exact"/>
              <w:rPr>
                <w:color w:val="auto"/>
                <w:sz w:val="24"/>
                <w:u w:val="single"/>
              </w:rPr>
            </w:pPr>
            <w:r>
              <w:rPr>
                <w:rFonts w:eastAsia="方正仿宋简体"/>
                <w:color w:val="auto"/>
                <w:sz w:val="24"/>
              </w:rPr>
              <w:sym w:font="Wingdings 2" w:char="00A3"/>
            </w:r>
            <w:r>
              <w:rPr>
                <w:color w:val="auto"/>
                <w:sz w:val="24"/>
              </w:rPr>
              <w:t>是：</w:t>
            </w:r>
            <w:r>
              <w:rPr>
                <w:color w:val="auto"/>
                <w:sz w:val="24"/>
                <w:u w:val="single"/>
              </w:rPr>
              <w:t xml:space="preserve">           </w:t>
            </w:r>
            <w:r>
              <w:rPr>
                <w:rFonts w:hint="eastAsia"/>
                <w:color w:val="auto"/>
                <w:sz w:val="24"/>
                <w:u w:val="single"/>
              </w:rPr>
              <w:t xml:space="preserve">   </w:t>
            </w:r>
            <w:r>
              <w:rPr>
                <w:color w:val="auto"/>
                <w:sz w:val="24"/>
                <w:u w:val="single"/>
              </w:rPr>
              <w:t xml:space="preserve"> </w:t>
            </w:r>
          </w:p>
        </w:tc>
        <w:tc>
          <w:tcPr>
            <w:tcW w:w="1898" w:type="dxa"/>
            <w:tcMar>
              <w:top w:w="16" w:type="dxa"/>
              <w:left w:w="16" w:type="dxa"/>
              <w:right w:w="16" w:type="dxa"/>
            </w:tcMar>
            <w:vAlign w:val="center"/>
          </w:tcPr>
          <w:p>
            <w:pPr>
              <w:adjustRightInd w:val="0"/>
              <w:snapToGrid w:val="0"/>
              <w:spacing w:line="270" w:lineRule="exact"/>
              <w:jc w:val="center"/>
              <w:rPr>
                <w:color w:val="auto"/>
                <w:spacing w:val="-6"/>
                <w:sz w:val="24"/>
              </w:rPr>
            </w:pPr>
            <w:r>
              <w:rPr>
                <w:color w:val="auto"/>
                <w:spacing w:val="-6"/>
                <w:sz w:val="24"/>
              </w:rPr>
              <w:t>用地（用海）</w:t>
            </w:r>
          </w:p>
          <w:p>
            <w:pPr>
              <w:adjustRightInd w:val="0"/>
              <w:snapToGrid w:val="0"/>
              <w:spacing w:line="270" w:lineRule="exact"/>
              <w:jc w:val="center"/>
              <w:rPr>
                <w:color w:val="auto"/>
                <w:sz w:val="24"/>
              </w:rPr>
            </w:pPr>
            <w:r>
              <w:rPr>
                <w:color w:val="auto"/>
                <w:spacing w:val="-6"/>
                <w:sz w:val="24"/>
              </w:rPr>
              <w:t>面积（㎡）</w:t>
            </w:r>
          </w:p>
        </w:tc>
        <w:tc>
          <w:tcPr>
            <w:tcW w:w="2953" w:type="dxa"/>
            <w:vAlign w:val="center"/>
          </w:tcPr>
          <w:p>
            <w:pPr>
              <w:adjustRightInd w:val="0"/>
              <w:snapToGrid w:val="0"/>
              <w:spacing w:line="270" w:lineRule="exact"/>
              <w:jc w:val="center"/>
              <w:rPr>
                <w:color w:val="auto"/>
                <w:spacing w:val="-6"/>
                <w:sz w:val="24"/>
              </w:rPr>
            </w:pPr>
            <w:r>
              <w:rPr>
                <w:rFonts w:hint="eastAsia"/>
                <w:color w:val="auto"/>
                <w:spacing w:val="-6"/>
                <w:sz w:val="24"/>
              </w:rPr>
              <w:t>11870（无新增用地）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227" w:type="dxa"/>
            <w:vAlign w:val="center"/>
          </w:tcPr>
          <w:p>
            <w:pPr>
              <w:autoSpaceDE w:val="0"/>
              <w:autoSpaceDN w:val="0"/>
              <w:adjustRightInd w:val="0"/>
              <w:snapToGrid w:val="0"/>
              <w:spacing w:line="270" w:lineRule="exact"/>
              <w:jc w:val="center"/>
              <w:rPr>
                <w:color w:val="auto"/>
                <w:kern w:val="0"/>
                <w:sz w:val="24"/>
              </w:rPr>
            </w:pPr>
            <w:r>
              <w:rPr>
                <w:color w:val="auto"/>
                <w:kern w:val="0"/>
                <w:sz w:val="24"/>
              </w:rPr>
              <w:t>专项评价设置情况</w:t>
            </w:r>
          </w:p>
        </w:tc>
        <w:tc>
          <w:tcPr>
            <w:tcW w:w="7643" w:type="dxa"/>
            <w:gridSpan w:val="3"/>
            <w:vAlign w:val="center"/>
          </w:tcPr>
          <w:p>
            <w:pPr>
              <w:adjustRightInd w:val="0"/>
              <w:snapToGrid w:val="0"/>
              <w:spacing w:line="270" w:lineRule="exact"/>
              <w:jc w:val="center"/>
              <w:rPr>
                <w:color w:val="auto"/>
                <w:sz w:val="24"/>
              </w:rPr>
            </w:pPr>
            <w:r>
              <w:rPr>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7" w:type="dxa"/>
            <w:vAlign w:val="center"/>
          </w:tcPr>
          <w:p>
            <w:pPr>
              <w:autoSpaceDE w:val="0"/>
              <w:autoSpaceDN w:val="0"/>
              <w:adjustRightInd w:val="0"/>
              <w:snapToGrid w:val="0"/>
              <w:spacing w:line="270" w:lineRule="exact"/>
              <w:ind w:left="-2" w:leftChars="-1"/>
              <w:jc w:val="center"/>
              <w:rPr>
                <w:color w:val="auto"/>
                <w:sz w:val="24"/>
              </w:rPr>
            </w:pPr>
            <w:r>
              <w:rPr>
                <w:color w:val="auto"/>
                <w:sz w:val="24"/>
              </w:rPr>
              <w:t>规划</w:t>
            </w:r>
          </w:p>
          <w:p>
            <w:pPr>
              <w:autoSpaceDE w:val="0"/>
              <w:autoSpaceDN w:val="0"/>
              <w:adjustRightInd w:val="0"/>
              <w:snapToGrid w:val="0"/>
              <w:spacing w:line="270" w:lineRule="exact"/>
              <w:ind w:left="-2" w:leftChars="-1"/>
              <w:jc w:val="center"/>
              <w:rPr>
                <w:color w:val="auto"/>
                <w:kern w:val="0"/>
                <w:sz w:val="24"/>
              </w:rPr>
            </w:pPr>
            <w:r>
              <w:rPr>
                <w:color w:val="auto"/>
                <w:sz w:val="24"/>
              </w:rPr>
              <w:t>情况</w:t>
            </w:r>
          </w:p>
        </w:tc>
        <w:tc>
          <w:tcPr>
            <w:tcW w:w="7643" w:type="dxa"/>
            <w:gridSpan w:val="3"/>
            <w:vAlign w:val="center"/>
          </w:tcPr>
          <w:p>
            <w:pPr>
              <w:adjustRightInd w:val="0"/>
              <w:snapToGrid w:val="0"/>
              <w:spacing w:line="270" w:lineRule="exact"/>
              <w:jc w:val="center"/>
              <w:rPr>
                <w:color w:val="auto"/>
                <w:sz w:val="24"/>
              </w:rPr>
            </w:pPr>
            <w:r>
              <w:rPr>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7" w:type="dxa"/>
            <w:vAlign w:val="center"/>
          </w:tcPr>
          <w:p>
            <w:pPr>
              <w:adjustRightInd w:val="0"/>
              <w:snapToGrid w:val="0"/>
              <w:spacing w:line="270" w:lineRule="exact"/>
              <w:jc w:val="center"/>
              <w:rPr>
                <w:color w:val="auto"/>
                <w:kern w:val="0"/>
                <w:sz w:val="24"/>
              </w:rPr>
            </w:pPr>
            <w:r>
              <w:rPr>
                <w:color w:val="auto"/>
                <w:sz w:val="24"/>
              </w:rPr>
              <w:t>规划环境影响评价情况</w:t>
            </w:r>
          </w:p>
        </w:tc>
        <w:tc>
          <w:tcPr>
            <w:tcW w:w="7643" w:type="dxa"/>
            <w:gridSpan w:val="3"/>
            <w:vAlign w:val="center"/>
          </w:tcPr>
          <w:p>
            <w:pPr>
              <w:adjustRightInd w:val="0"/>
              <w:snapToGrid w:val="0"/>
              <w:spacing w:line="270" w:lineRule="exact"/>
              <w:jc w:val="center"/>
              <w:rPr>
                <w:color w:val="auto"/>
                <w:sz w:val="24"/>
              </w:rPr>
            </w:pPr>
            <w:r>
              <w:rPr>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Align w:val="center"/>
          </w:tcPr>
          <w:p>
            <w:pPr>
              <w:autoSpaceDE w:val="0"/>
              <w:autoSpaceDN w:val="0"/>
              <w:adjustRightInd w:val="0"/>
              <w:snapToGrid w:val="0"/>
              <w:spacing w:line="270" w:lineRule="exact"/>
              <w:jc w:val="center"/>
              <w:rPr>
                <w:color w:val="auto"/>
                <w:kern w:val="0"/>
                <w:sz w:val="24"/>
              </w:rPr>
            </w:pPr>
            <w:r>
              <w:rPr>
                <w:color w:val="auto"/>
                <w:kern w:val="0"/>
                <w:sz w:val="24"/>
              </w:rPr>
              <w:t>规划及规划环境影响评价符合性分析</w:t>
            </w:r>
          </w:p>
        </w:tc>
        <w:tc>
          <w:tcPr>
            <w:tcW w:w="7643" w:type="dxa"/>
            <w:gridSpan w:val="3"/>
            <w:vAlign w:val="center"/>
          </w:tcPr>
          <w:p>
            <w:pPr>
              <w:adjustRightInd w:val="0"/>
              <w:snapToGrid w:val="0"/>
              <w:spacing w:line="270" w:lineRule="exact"/>
              <w:jc w:val="center"/>
              <w:rPr>
                <w:color w:val="auto"/>
                <w:sz w:val="24"/>
              </w:rPr>
            </w:pPr>
            <w:r>
              <w:rPr>
                <w:color w:val="auto"/>
                <w:sz w:val="24"/>
              </w:rPr>
              <w:t>无</w:t>
            </w:r>
            <w:bookmarkStart w:id="6" w:name="_GoBack"/>
            <w:bookmarkEnd w:id="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88" w:hRule="atLeast"/>
          <w:jc w:val="center"/>
        </w:trPr>
        <w:tc>
          <w:tcPr>
            <w:tcW w:w="1227" w:type="dxa"/>
            <w:vAlign w:val="center"/>
          </w:tcPr>
          <w:p>
            <w:pPr>
              <w:autoSpaceDE w:val="0"/>
              <w:autoSpaceDN w:val="0"/>
              <w:adjustRightInd w:val="0"/>
              <w:snapToGrid w:val="0"/>
              <w:jc w:val="center"/>
              <w:rPr>
                <w:color w:val="auto"/>
                <w:kern w:val="0"/>
                <w:sz w:val="24"/>
              </w:rPr>
            </w:pPr>
            <w:r>
              <w:rPr>
                <w:color w:val="auto"/>
                <w:kern w:val="0"/>
                <w:sz w:val="24"/>
              </w:rPr>
              <w:t>其他符合性分析</w:t>
            </w:r>
          </w:p>
        </w:tc>
        <w:tc>
          <w:tcPr>
            <w:tcW w:w="7643" w:type="dxa"/>
            <w:gridSpan w:val="3"/>
            <w:vAlign w:val="center"/>
          </w:tcPr>
          <w:p>
            <w:pPr>
              <w:spacing w:line="360" w:lineRule="auto"/>
              <w:ind w:firstLine="482" w:firstLineChars="200"/>
              <w:rPr>
                <w:color w:val="auto"/>
                <w:sz w:val="24"/>
              </w:rPr>
            </w:pPr>
            <w:r>
              <w:rPr>
                <w:b/>
                <w:bCs/>
                <w:color w:val="auto"/>
                <w:sz w:val="24"/>
              </w:rPr>
              <w:t>1、产业政策符合性分析</w:t>
            </w:r>
          </w:p>
          <w:p>
            <w:pPr>
              <w:pStyle w:val="82"/>
              <w:spacing w:line="360" w:lineRule="auto"/>
              <w:ind w:firstLine="480"/>
              <w:rPr>
                <w:rFonts w:ascii="Times New Roman" w:hAnsi="Times New Roman"/>
                <w:color w:val="auto"/>
                <w:sz w:val="24"/>
              </w:rPr>
            </w:pPr>
            <w:r>
              <w:rPr>
                <w:rFonts w:ascii="Times New Roman" w:hAnsi="Times New Roman"/>
                <w:color w:val="auto"/>
                <w:sz w:val="24"/>
              </w:rPr>
              <w:t>依据国家发展和改革委员会令第</w:t>
            </w:r>
            <w:r>
              <w:rPr>
                <w:rFonts w:hint="eastAsia" w:ascii="Times New Roman" w:hAnsi="Times New Roman"/>
                <w:color w:val="auto"/>
                <w:sz w:val="24"/>
                <w:lang w:val="en-US" w:eastAsia="zh-CN"/>
              </w:rPr>
              <w:t>7</w:t>
            </w:r>
            <w:r>
              <w:rPr>
                <w:rFonts w:ascii="Times New Roman" w:hAnsi="Times New Roman"/>
                <w:color w:val="auto"/>
                <w:sz w:val="24"/>
              </w:rPr>
              <w:t>号《产业结构调整指导目录</w:t>
            </w:r>
            <w:r>
              <w:rPr>
                <w:rFonts w:hint="eastAsia" w:ascii="Times New Roman" w:hAnsi="Times New Roman"/>
                <w:color w:val="auto"/>
                <w:sz w:val="24"/>
              </w:rPr>
              <w:t>(2024年本)</w:t>
            </w:r>
            <w:r>
              <w:rPr>
                <w:rFonts w:ascii="Times New Roman" w:hAnsi="Times New Roman"/>
                <w:color w:val="auto"/>
                <w:sz w:val="24"/>
              </w:rPr>
              <w:t>》分析，本项目属于“鼓励类”</w:t>
            </w:r>
            <w:r>
              <w:rPr>
                <w:rFonts w:hint="eastAsia" w:ascii="Times New Roman" w:hAnsi="Times New Roman"/>
                <w:color w:val="auto"/>
                <w:sz w:val="24"/>
              </w:rPr>
              <w:t>中的“四十</w:t>
            </w:r>
            <w:r>
              <w:rPr>
                <w:rFonts w:hint="eastAsia" w:ascii="Times New Roman" w:hAnsi="Times New Roman"/>
                <w:color w:val="auto"/>
                <w:sz w:val="24"/>
                <w:lang w:val="en-US" w:eastAsia="zh-CN"/>
              </w:rPr>
              <w:t>二</w:t>
            </w:r>
            <w:r>
              <w:rPr>
                <w:rFonts w:hint="eastAsia" w:ascii="Times New Roman" w:hAnsi="Times New Roman"/>
                <w:color w:val="auto"/>
                <w:sz w:val="24"/>
              </w:rPr>
              <w:t>、环境保护与资源节约综合利用1</w:t>
            </w:r>
            <w:r>
              <w:rPr>
                <w:rFonts w:hint="eastAsia" w:ascii="Times New Roman" w:hAnsi="Times New Roman"/>
                <w:color w:val="auto"/>
                <w:sz w:val="24"/>
                <w:lang w:val="en-US" w:eastAsia="zh-CN"/>
              </w:rPr>
              <w:t>0</w:t>
            </w:r>
            <w:r>
              <w:rPr>
                <w:rFonts w:hint="eastAsia" w:ascii="Times New Roman" w:hAnsi="Times New Roman"/>
                <w:color w:val="auto"/>
                <w:sz w:val="24"/>
              </w:rPr>
              <w:t>、工业“三废”</w:t>
            </w:r>
            <w:r>
              <w:rPr>
                <w:rFonts w:hint="eastAsia" w:ascii="Times New Roman" w:hAnsi="Times New Roman"/>
                <w:color w:val="auto"/>
                <w:sz w:val="24"/>
                <w:lang w:val="en-US" w:eastAsia="zh-CN"/>
              </w:rPr>
              <w:t>循环利用：</w:t>
            </w:r>
            <w:r>
              <w:rPr>
                <w:rFonts w:hint="eastAsia" w:ascii="Times New Roman" w:hAnsi="Times New Roman"/>
                <w:color w:val="auto"/>
                <w:sz w:val="24"/>
              </w:rPr>
              <w:t>“三废”综合利用与治理技术、装备和工程”，项目符合国家产业政策。</w:t>
            </w:r>
          </w:p>
          <w:p>
            <w:pPr>
              <w:pStyle w:val="82"/>
              <w:spacing w:line="360" w:lineRule="auto"/>
              <w:ind w:firstLine="482"/>
              <w:rPr>
                <w:rFonts w:ascii="Times New Roman" w:hAnsi="Times New Roman"/>
                <w:b/>
                <w:bCs/>
                <w:color w:val="auto"/>
                <w:sz w:val="24"/>
              </w:rPr>
            </w:pPr>
            <w:r>
              <w:rPr>
                <w:rFonts w:hint="eastAsia" w:ascii="Times New Roman" w:hAnsi="Times New Roman"/>
                <w:b/>
                <w:bCs/>
                <w:color w:val="auto"/>
                <w:sz w:val="24"/>
              </w:rPr>
              <w:t>2</w:t>
            </w:r>
            <w:r>
              <w:rPr>
                <w:rFonts w:ascii="Times New Roman" w:hAnsi="Times New Roman"/>
                <w:b/>
                <w:bCs/>
                <w:color w:val="auto"/>
                <w:sz w:val="24"/>
              </w:rPr>
              <w:t>、“三线一单”符合性分析</w:t>
            </w:r>
          </w:p>
          <w:p>
            <w:pPr>
              <w:spacing w:line="360" w:lineRule="auto"/>
              <w:ind w:firstLine="480" w:firstLineChars="200"/>
              <w:rPr>
                <w:rFonts w:hint="default" w:eastAsia="宋体"/>
                <w:color w:val="auto"/>
                <w:sz w:val="24"/>
                <w:lang w:val="en-US" w:eastAsia="zh-CN"/>
              </w:rPr>
            </w:pPr>
            <w:r>
              <w:rPr>
                <w:rFonts w:hint="eastAsia"/>
                <w:color w:val="auto"/>
                <w:sz w:val="24"/>
              </w:rPr>
              <w:t>根据《陕西省“三线一单”生态环境分区管控成果应用技术规范（试行）》中划定的管控单元，本项目不涉及优先保护单元和重点管控单元，仅涉及一般管控单元。项目环境管控单元涉及情况见表1-1，“三线一单”符合性分析见表1-2，空间冲突见图1-1至图1-3</w:t>
            </w:r>
            <w:r>
              <w:rPr>
                <w:rFonts w:hint="eastAsia"/>
                <w:color w:val="auto"/>
                <w:sz w:val="24"/>
                <w:lang w:eastAsia="zh-CN"/>
              </w:rPr>
              <w:t>，</w:t>
            </w:r>
            <w:r>
              <w:rPr>
                <w:rFonts w:hint="eastAsia"/>
                <w:color w:val="auto"/>
                <w:sz w:val="24"/>
                <w:lang w:val="en-US" w:eastAsia="zh-CN"/>
              </w:rPr>
              <w:t>详见附件3。</w:t>
            </w:r>
          </w:p>
          <w:p>
            <w:pPr>
              <w:snapToGrid w:val="0"/>
              <w:ind w:firstLine="420" w:firstLineChars="200"/>
              <w:jc w:val="center"/>
              <w:rPr>
                <w:rFonts w:eastAsia="黑体"/>
                <w:color w:val="auto"/>
                <w:kern w:val="0"/>
                <w:szCs w:val="21"/>
              </w:rPr>
            </w:pPr>
            <w:r>
              <w:rPr>
                <w:rFonts w:eastAsia="黑体"/>
                <w:color w:val="auto"/>
                <w:kern w:val="0"/>
                <w:szCs w:val="21"/>
              </w:rPr>
              <w:t>表1</w:t>
            </w:r>
            <w:r>
              <w:rPr>
                <w:rFonts w:hint="eastAsia" w:eastAsia="黑体"/>
                <w:color w:val="auto"/>
                <w:kern w:val="0"/>
                <w:szCs w:val="21"/>
              </w:rPr>
              <w:t xml:space="preserve">-1  </w:t>
            </w:r>
            <w:r>
              <w:rPr>
                <w:rFonts w:eastAsia="黑体"/>
                <w:color w:val="auto"/>
                <w:kern w:val="0"/>
                <w:szCs w:val="21"/>
              </w:rPr>
              <w:t>本</w:t>
            </w:r>
            <w:r>
              <w:rPr>
                <w:rFonts w:hint="eastAsia" w:eastAsia="黑体"/>
                <w:color w:val="auto"/>
                <w:kern w:val="0"/>
                <w:szCs w:val="21"/>
              </w:rPr>
              <w:t>项目环境管控单元涉及情况</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6"/>
              <w:gridCol w:w="2825"/>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66" w:type="dxa"/>
                  <w:vAlign w:val="center"/>
                </w:tcPr>
                <w:p>
                  <w:pPr>
                    <w:adjustRightInd w:val="0"/>
                    <w:snapToGrid w:val="0"/>
                    <w:spacing w:line="320" w:lineRule="atLeast"/>
                    <w:jc w:val="center"/>
                    <w:rPr>
                      <w:color w:val="auto"/>
                      <w:szCs w:val="21"/>
                    </w:rPr>
                  </w:pPr>
                  <w:r>
                    <w:rPr>
                      <w:rFonts w:hint="eastAsia"/>
                      <w:color w:val="auto"/>
                      <w:szCs w:val="21"/>
                    </w:rPr>
                    <w:t>环境管控单元分类</w:t>
                  </w:r>
                </w:p>
              </w:tc>
              <w:tc>
                <w:tcPr>
                  <w:tcW w:w="2825" w:type="dxa"/>
                  <w:vAlign w:val="center"/>
                </w:tcPr>
                <w:p>
                  <w:pPr>
                    <w:adjustRightInd w:val="0"/>
                    <w:snapToGrid w:val="0"/>
                    <w:spacing w:line="320" w:lineRule="atLeast"/>
                    <w:jc w:val="center"/>
                    <w:rPr>
                      <w:color w:val="auto"/>
                      <w:szCs w:val="21"/>
                    </w:rPr>
                  </w:pPr>
                  <w:r>
                    <w:rPr>
                      <w:rFonts w:hint="eastAsia"/>
                      <w:color w:val="auto"/>
                      <w:szCs w:val="21"/>
                    </w:rPr>
                    <w:t>是否涉及</w:t>
                  </w:r>
                </w:p>
              </w:tc>
              <w:tc>
                <w:tcPr>
                  <w:tcW w:w="2249" w:type="dxa"/>
                  <w:vAlign w:val="center"/>
                </w:tcPr>
                <w:p>
                  <w:pPr>
                    <w:adjustRightInd w:val="0"/>
                    <w:snapToGrid w:val="0"/>
                    <w:spacing w:line="320" w:lineRule="atLeast"/>
                    <w:jc w:val="center"/>
                    <w:rPr>
                      <w:color w:val="auto"/>
                      <w:szCs w:val="21"/>
                    </w:rPr>
                  </w:pPr>
                  <w:r>
                    <w:rPr>
                      <w:rFonts w:hint="eastAsia"/>
                      <w:color w:val="auto"/>
                      <w:szCs w:val="21"/>
                    </w:rPr>
                    <w:t>面积/长度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66" w:type="dxa"/>
                  <w:vAlign w:val="center"/>
                </w:tcPr>
                <w:p>
                  <w:pPr>
                    <w:adjustRightInd w:val="0"/>
                    <w:snapToGrid w:val="0"/>
                    <w:spacing w:line="320" w:lineRule="atLeast"/>
                    <w:jc w:val="center"/>
                    <w:rPr>
                      <w:color w:val="auto"/>
                      <w:szCs w:val="21"/>
                    </w:rPr>
                  </w:pPr>
                  <w:r>
                    <w:rPr>
                      <w:rFonts w:hint="eastAsia"/>
                      <w:color w:val="auto"/>
                      <w:szCs w:val="21"/>
                    </w:rPr>
                    <w:t>优先保护单元</w:t>
                  </w:r>
                </w:p>
              </w:tc>
              <w:tc>
                <w:tcPr>
                  <w:tcW w:w="2825" w:type="dxa"/>
                  <w:vAlign w:val="center"/>
                </w:tcPr>
                <w:p>
                  <w:pPr>
                    <w:adjustRightInd w:val="0"/>
                    <w:snapToGrid w:val="0"/>
                    <w:spacing w:line="320" w:lineRule="atLeast"/>
                    <w:jc w:val="center"/>
                    <w:rPr>
                      <w:color w:val="auto"/>
                      <w:szCs w:val="21"/>
                    </w:rPr>
                  </w:pPr>
                  <w:r>
                    <w:rPr>
                      <w:rFonts w:hint="eastAsia"/>
                      <w:color w:val="auto"/>
                      <w:szCs w:val="21"/>
                    </w:rPr>
                    <w:t>否</w:t>
                  </w:r>
                </w:p>
              </w:tc>
              <w:tc>
                <w:tcPr>
                  <w:tcW w:w="2249" w:type="dxa"/>
                  <w:vAlign w:val="center"/>
                </w:tcPr>
                <w:p>
                  <w:pPr>
                    <w:adjustRightInd w:val="0"/>
                    <w:snapToGrid w:val="0"/>
                    <w:spacing w:line="320" w:lineRule="atLeast"/>
                    <w:jc w:val="center"/>
                    <w:rPr>
                      <w:color w:val="auto"/>
                      <w:szCs w:val="21"/>
                    </w:rPr>
                  </w:pPr>
                  <w:r>
                    <w:rPr>
                      <w:rFonts w:hint="eastAsia"/>
                      <w:color w:val="auto"/>
                      <w:szCs w:val="21"/>
                    </w:rPr>
                    <w:t>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66" w:type="dxa"/>
                  <w:vAlign w:val="center"/>
                </w:tcPr>
                <w:p>
                  <w:pPr>
                    <w:adjustRightInd w:val="0"/>
                    <w:snapToGrid w:val="0"/>
                    <w:spacing w:line="320" w:lineRule="atLeast"/>
                    <w:jc w:val="center"/>
                    <w:rPr>
                      <w:color w:val="auto"/>
                      <w:szCs w:val="21"/>
                    </w:rPr>
                  </w:pPr>
                  <w:r>
                    <w:rPr>
                      <w:rFonts w:hint="eastAsia"/>
                      <w:color w:val="auto"/>
                      <w:szCs w:val="21"/>
                    </w:rPr>
                    <w:t>重点管控单元</w:t>
                  </w:r>
                </w:p>
              </w:tc>
              <w:tc>
                <w:tcPr>
                  <w:tcW w:w="2825" w:type="dxa"/>
                  <w:vAlign w:val="center"/>
                </w:tcPr>
                <w:p>
                  <w:pPr>
                    <w:adjustRightInd w:val="0"/>
                    <w:snapToGrid w:val="0"/>
                    <w:spacing w:line="320" w:lineRule="atLeast"/>
                    <w:jc w:val="center"/>
                    <w:rPr>
                      <w:color w:val="auto"/>
                      <w:szCs w:val="21"/>
                    </w:rPr>
                  </w:pPr>
                  <w:r>
                    <w:rPr>
                      <w:rFonts w:hint="eastAsia"/>
                      <w:color w:val="auto"/>
                      <w:szCs w:val="21"/>
                    </w:rPr>
                    <w:t>否</w:t>
                  </w:r>
                </w:p>
              </w:tc>
              <w:tc>
                <w:tcPr>
                  <w:tcW w:w="2249" w:type="dxa"/>
                  <w:vAlign w:val="center"/>
                </w:tcPr>
                <w:p>
                  <w:pPr>
                    <w:adjustRightInd w:val="0"/>
                    <w:snapToGrid w:val="0"/>
                    <w:spacing w:line="320" w:lineRule="atLeast"/>
                    <w:jc w:val="center"/>
                    <w:rPr>
                      <w:color w:val="auto"/>
                      <w:szCs w:val="21"/>
                    </w:rPr>
                  </w:pPr>
                  <w:r>
                    <w:rPr>
                      <w:rFonts w:hint="eastAsia"/>
                      <w:color w:val="auto"/>
                      <w:szCs w:val="21"/>
                    </w:rPr>
                    <w:t>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366" w:type="dxa"/>
                  <w:vAlign w:val="center"/>
                </w:tcPr>
                <w:p>
                  <w:pPr>
                    <w:adjustRightInd w:val="0"/>
                    <w:snapToGrid w:val="0"/>
                    <w:spacing w:line="320" w:lineRule="atLeast"/>
                    <w:jc w:val="center"/>
                    <w:rPr>
                      <w:color w:val="auto"/>
                      <w:szCs w:val="21"/>
                    </w:rPr>
                  </w:pPr>
                  <w:r>
                    <w:rPr>
                      <w:rFonts w:hint="eastAsia"/>
                      <w:color w:val="auto"/>
                      <w:szCs w:val="21"/>
                    </w:rPr>
                    <w:t>一般管控单元</w:t>
                  </w:r>
                </w:p>
              </w:tc>
              <w:tc>
                <w:tcPr>
                  <w:tcW w:w="2825" w:type="dxa"/>
                  <w:vAlign w:val="center"/>
                </w:tcPr>
                <w:p>
                  <w:pPr>
                    <w:adjustRightInd w:val="0"/>
                    <w:snapToGrid w:val="0"/>
                    <w:spacing w:line="320" w:lineRule="atLeast"/>
                    <w:jc w:val="center"/>
                    <w:rPr>
                      <w:color w:val="auto"/>
                      <w:szCs w:val="21"/>
                    </w:rPr>
                  </w:pPr>
                  <w:r>
                    <w:rPr>
                      <w:rFonts w:hint="eastAsia"/>
                      <w:color w:val="auto"/>
                      <w:szCs w:val="21"/>
                    </w:rPr>
                    <w:t>是</w:t>
                  </w:r>
                </w:p>
              </w:tc>
              <w:tc>
                <w:tcPr>
                  <w:tcW w:w="2249" w:type="dxa"/>
                  <w:vAlign w:val="center"/>
                </w:tcPr>
                <w:p>
                  <w:pPr>
                    <w:adjustRightInd w:val="0"/>
                    <w:snapToGrid w:val="0"/>
                    <w:spacing w:line="320" w:lineRule="atLeast"/>
                    <w:jc w:val="center"/>
                    <w:rPr>
                      <w:color w:val="auto"/>
                      <w:szCs w:val="21"/>
                    </w:rPr>
                  </w:pPr>
                  <w:r>
                    <w:rPr>
                      <w:rFonts w:hint="eastAsia"/>
                      <w:color w:val="auto"/>
                      <w:szCs w:val="21"/>
                    </w:rPr>
                    <w:t>11870平方米</w:t>
                  </w:r>
                </w:p>
              </w:tc>
            </w:tr>
          </w:tbl>
          <w:p>
            <w:pPr>
              <w:snapToGrid w:val="0"/>
              <w:jc w:val="left"/>
              <w:rPr>
                <w:color w:val="auto"/>
              </w:rPr>
            </w:pPr>
          </w:p>
          <w:p>
            <w:pPr>
              <w:snapToGrid w:val="0"/>
              <w:jc w:val="left"/>
              <w:rPr>
                <w:color w:val="auto"/>
              </w:rPr>
            </w:pPr>
            <w:r>
              <w:rPr>
                <w:rFonts w:hint="eastAsia"/>
                <w:color w:val="auto"/>
              </w:rPr>
              <w:drawing>
                <wp:inline distT="0" distB="0" distL="114300" distR="114300">
                  <wp:extent cx="4707255" cy="2239645"/>
                  <wp:effectExtent l="0" t="0" r="17145" b="8255"/>
                  <wp:docPr id="3" name="图片 66" descr="@LY~$@DP``@FZ7SUJ7GT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6" descr="@LY~$@DP``@FZ7SUJ7GT0@M"/>
                          <pic:cNvPicPr>
                            <a:picLocks noChangeAspect="1"/>
                          </pic:cNvPicPr>
                        </pic:nvPicPr>
                        <pic:blipFill>
                          <a:blip r:embed="rId10" cstate="print"/>
                          <a:stretch>
                            <a:fillRect/>
                          </a:stretch>
                        </pic:blipFill>
                        <pic:spPr>
                          <a:xfrm>
                            <a:off x="0" y="0"/>
                            <a:ext cx="4707255" cy="2239645"/>
                          </a:xfrm>
                          <a:prstGeom prst="rect">
                            <a:avLst/>
                          </a:prstGeom>
                          <a:noFill/>
                          <a:ln>
                            <a:noFill/>
                          </a:ln>
                        </pic:spPr>
                      </pic:pic>
                    </a:graphicData>
                  </a:graphic>
                </wp:inline>
              </w:drawing>
            </w:r>
            <w:r>
              <w:rPr>
                <w:color w:val="auto"/>
              </w:rPr>
              <w:drawing>
                <wp:inline distT="0" distB="0" distL="114300" distR="114300">
                  <wp:extent cx="847725" cy="454660"/>
                  <wp:effectExtent l="0" t="0" r="9525" b="2540"/>
                  <wp:docPr id="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7"/>
                          <pic:cNvPicPr>
                            <a:picLocks noChangeAspect="1"/>
                          </pic:cNvPicPr>
                        </pic:nvPicPr>
                        <pic:blipFill>
                          <a:blip r:embed="rId11" cstate="print"/>
                          <a:stretch>
                            <a:fillRect/>
                          </a:stretch>
                        </pic:blipFill>
                        <pic:spPr>
                          <a:xfrm>
                            <a:off x="0" y="0"/>
                            <a:ext cx="847725" cy="454660"/>
                          </a:xfrm>
                          <a:prstGeom prst="rect">
                            <a:avLst/>
                          </a:prstGeom>
                          <a:noFill/>
                          <a:ln>
                            <a:noFill/>
                          </a:ln>
                        </pic:spPr>
                      </pic:pic>
                    </a:graphicData>
                  </a:graphic>
                </wp:inline>
              </w:drawing>
            </w:r>
          </w:p>
          <w:p>
            <w:pPr>
              <w:pStyle w:val="82"/>
              <w:snapToGrid w:val="0"/>
              <w:spacing w:line="360" w:lineRule="auto"/>
              <w:ind w:firstLine="0" w:firstLineChars="0"/>
              <w:jc w:val="center"/>
              <w:rPr>
                <w:rFonts w:ascii="Times New Roman" w:hAnsi="Times New Roman" w:eastAsia="黑体"/>
                <w:color w:val="auto"/>
              </w:rPr>
            </w:pPr>
            <w:r>
              <w:rPr>
                <w:rFonts w:hint="eastAsia" w:ascii="Times New Roman" w:hAnsi="Times New Roman" w:eastAsia="黑体"/>
                <w:color w:val="auto"/>
              </w:rPr>
              <w:t>图1-1  2511水处理站空间冲突图</w:t>
            </w:r>
          </w:p>
          <w:p>
            <w:pPr>
              <w:pStyle w:val="82"/>
              <w:spacing w:line="360" w:lineRule="auto"/>
              <w:ind w:firstLine="0" w:firstLineChars="0"/>
              <w:rPr>
                <w:color w:val="auto"/>
              </w:rPr>
            </w:pPr>
            <w:r>
              <w:rPr>
                <w:rFonts w:hint="eastAsia"/>
                <w:color w:val="auto"/>
              </w:rPr>
              <w:drawing>
                <wp:inline distT="0" distB="0" distL="114300" distR="114300">
                  <wp:extent cx="4707255" cy="2272665"/>
                  <wp:effectExtent l="0" t="0" r="17145" b="13335"/>
                  <wp:docPr id="5" name="图片 61" descr="$CP2KM$2E7QN0)LFY(X(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1" descr="$CP2KM$2E7QN0)LFY(X(_2O"/>
                          <pic:cNvPicPr>
                            <a:picLocks noChangeAspect="1"/>
                          </pic:cNvPicPr>
                        </pic:nvPicPr>
                        <pic:blipFill>
                          <a:blip r:embed="rId12" cstate="print"/>
                          <a:stretch>
                            <a:fillRect/>
                          </a:stretch>
                        </pic:blipFill>
                        <pic:spPr>
                          <a:xfrm>
                            <a:off x="0" y="0"/>
                            <a:ext cx="4707255" cy="2272665"/>
                          </a:xfrm>
                          <a:prstGeom prst="rect">
                            <a:avLst/>
                          </a:prstGeom>
                          <a:noFill/>
                          <a:ln>
                            <a:noFill/>
                          </a:ln>
                        </pic:spPr>
                      </pic:pic>
                    </a:graphicData>
                  </a:graphic>
                </wp:inline>
              </w:drawing>
            </w:r>
            <w:r>
              <w:rPr>
                <w:color w:val="auto"/>
              </w:rPr>
              <w:drawing>
                <wp:inline distT="0" distB="0" distL="114300" distR="114300">
                  <wp:extent cx="847725" cy="454660"/>
                  <wp:effectExtent l="0" t="0" r="9525" b="2540"/>
                  <wp:docPr id="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3"/>
                          <pic:cNvPicPr>
                            <a:picLocks noChangeAspect="1"/>
                          </pic:cNvPicPr>
                        </pic:nvPicPr>
                        <pic:blipFill>
                          <a:blip r:embed="rId11" cstate="print"/>
                          <a:stretch>
                            <a:fillRect/>
                          </a:stretch>
                        </pic:blipFill>
                        <pic:spPr>
                          <a:xfrm>
                            <a:off x="0" y="0"/>
                            <a:ext cx="847725" cy="454660"/>
                          </a:xfrm>
                          <a:prstGeom prst="rect">
                            <a:avLst/>
                          </a:prstGeom>
                          <a:noFill/>
                          <a:ln>
                            <a:noFill/>
                          </a:ln>
                        </pic:spPr>
                      </pic:pic>
                    </a:graphicData>
                  </a:graphic>
                </wp:inline>
              </w:drawing>
            </w:r>
          </w:p>
          <w:p>
            <w:pPr>
              <w:pStyle w:val="82"/>
              <w:snapToGrid w:val="0"/>
              <w:spacing w:line="360" w:lineRule="auto"/>
              <w:ind w:firstLine="0" w:firstLineChars="0"/>
              <w:jc w:val="center"/>
              <w:rPr>
                <w:rFonts w:ascii="Times New Roman" w:hAnsi="Times New Roman" w:eastAsia="黑体"/>
                <w:color w:val="auto"/>
              </w:rPr>
            </w:pPr>
            <w:r>
              <w:rPr>
                <w:rFonts w:hint="eastAsia" w:ascii="Times New Roman" w:hAnsi="Times New Roman" w:eastAsia="黑体"/>
                <w:color w:val="auto"/>
              </w:rPr>
              <w:t>图1-2  3270水处理站空间冲突图</w:t>
            </w:r>
          </w:p>
          <w:p>
            <w:pPr>
              <w:pStyle w:val="82"/>
              <w:spacing w:line="360" w:lineRule="auto"/>
              <w:ind w:firstLine="0" w:firstLineChars="0"/>
              <w:rPr>
                <w:rFonts w:ascii="Times New Roman" w:hAnsi="Times New Roman"/>
                <w:color w:val="auto"/>
                <w:sz w:val="24"/>
              </w:rPr>
            </w:pPr>
            <w:r>
              <w:rPr>
                <w:color w:val="auto"/>
              </w:rPr>
              <w:drawing>
                <wp:inline distT="0" distB="0" distL="114300" distR="114300">
                  <wp:extent cx="4704080" cy="2047875"/>
                  <wp:effectExtent l="0" t="0" r="1270" b="9525"/>
                  <wp:docPr id="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5"/>
                          <pic:cNvPicPr>
                            <a:picLocks noChangeAspect="1"/>
                          </pic:cNvPicPr>
                        </pic:nvPicPr>
                        <pic:blipFill>
                          <a:blip r:embed="rId13" cstate="print"/>
                          <a:stretch>
                            <a:fillRect/>
                          </a:stretch>
                        </pic:blipFill>
                        <pic:spPr>
                          <a:xfrm>
                            <a:off x="0" y="0"/>
                            <a:ext cx="4704080" cy="2047875"/>
                          </a:xfrm>
                          <a:prstGeom prst="rect">
                            <a:avLst/>
                          </a:prstGeom>
                          <a:noFill/>
                          <a:ln>
                            <a:noFill/>
                          </a:ln>
                        </pic:spPr>
                      </pic:pic>
                    </a:graphicData>
                  </a:graphic>
                </wp:inline>
              </w:drawing>
            </w:r>
            <w:r>
              <w:rPr>
                <w:color w:val="auto"/>
              </w:rPr>
              <w:drawing>
                <wp:inline distT="0" distB="0" distL="114300" distR="114300">
                  <wp:extent cx="847725" cy="454660"/>
                  <wp:effectExtent l="0" t="0" r="9525" b="2540"/>
                  <wp:docPr id="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9"/>
                          <pic:cNvPicPr>
                            <a:picLocks noChangeAspect="1"/>
                          </pic:cNvPicPr>
                        </pic:nvPicPr>
                        <pic:blipFill>
                          <a:blip r:embed="rId11" cstate="print"/>
                          <a:stretch>
                            <a:fillRect/>
                          </a:stretch>
                        </pic:blipFill>
                        <pic:spPr>
                          <a:xfrm>
                            <a:off x="0" y="0"/>
                            <a:ext cx="847725" cy="454660"/>
                          </a:xfrm>
                          <a:prstGeom prst="rect">
                            <a:avLst/>
                          </a:prstGeom>
                          <a:noFill/>
                          <a:ln>
                            <a:noFill/>
                          </a:ln>
                        </pic:spPr>
                      </pic:pic>
                    </a:graphicData>
                  </a:graphic>
                </wp:inline>
              </w:drawing>
            </w:r>
          </w:p>
          <w:p>
            <w:pPr>
              <w:pStyle w:val="82"/>
              <w:snapToGrid w:val="0"/>
              <w:spacing w:line="360" w:lineRule="auto"/>
              <w:ind w:firstLine="0" w:firstLineChars="0"/>
              <w:jc w:val="center"/>
              <w:rPr>
                <w:rFonts w:ascii="Times New Roman" w:hAnsi="Times New Roman" w:eastAsia="黑体"/>
                <w:color w:val="auto"/>
              </w:rPr>
            </w:pPr>
            <w:r>
              <w:rPr>
                <w:rFonts w:hint="eastAsia" w:ascii="Times New Roman" w:hAnsi="Times New Roman" w:eastAsia="黑体"/>
                <w:color w:val="auto"/>
              </w:rPr>
              <w:t>图1-3  4926-4水处理站空间冲突图</w:t>
            </w:r>
          </w:p>
          <w:p>
            <w:pPr>
              <w:pStyle w:val="82"/>
              <w:snapToGrid w:val="0"/>
              <w:spacing w:line="360" w:lineRule="auto"/>
              <w:ind w:firstLine="0" w:firstLineChars="0"/>
              <w:jc w:val="center"/>
              <w:rPr>
                <w:rFonts w:ascii="Times New Roman" w:hAnsi="Times New Roman" w:eastAsia="黑体"/>
                <w:color w:val="auto"/>
              </w:rPr>
            </w:pPr>
            <w:r>
              <w:rPr>
                <w:rFonts w:ascii="Times New Roman" w:hAnsi="Times New Roman" w:eastAsia="黑体"/>
                <w:color w:val="auto"/>
              </w:rPr>
              <w:t>表</w:t>
            </w:r>
            <w:r>
              <w:rPr>
                <w:rFonts w:hint="eastAsia" w:ascii="Times New Roman" w:hAnsi="Times New Roman" w:eastAsia="黑体"/>
                <w:color w:val="auto"/>
              </w:rPr>
              <w:t>1-2</w:t>
            </w:r>
            <w:r>
              <w:rPr>
                <w:rFonts w:ascii="Times New Roman" w:hAnsi="Times New Roman" w:eastAsia="黑体"/>
                <w:color w:val="auto"/>
              </w:rPr>
              <w:t xml:space="preserve">  </w:t>
            </w:r>
            <w:r>
              <w:rPr>
                <w:rFonts w:hint="eastAsia" w:ascii="Times New Roman" w:hAnsi="Times New Roman" w:eastAsia="黑体"/>
                <w:color w:val="auto"/>
              </w:rPr>
              <w:t>项目</w:t>
            </w:r>
            <w:r>
              <w:rPr>
                <w:rFonts w:ascii="Times New Roman" w:hAnsi="Times New Roman" w:eastAsia="黑体"/>
                <w:color w:val="auto"/>
              </w:rPr>
              <w:t>与“三线一单”符合性分析</w:t>
            </w:r>
          </w:p>
          <w:tbl>
            <w:tblPr>
              <w:tblStyle w:val="34"/>
              <w:tblW w:w="0" w:type="auto"/>
              <w:tblInd w:w="0" w:type="dxa"/>
              <w:tblLayout w:type="fixed"/>
              <w:tblCellMar>
                <w:top w:w="0" w:type="dxa"/>
                <w:left w:w="108" w:type="dxa"/>
                <w:bottom w:w="0" w:type="dxa"/>
                <w:right w:w="108" w:type="dxa"/>
              </w:tblCellMar>
            </w:tblPr>
            <w:tblGrid>
              <w:gridCol w:w="1619"/>
              <w:gridCol w:w="4937"/>
              <w:gridCol w:w="842"/>
            </w:tblGrid>
            <w:tr>
              <w:tblPrEx>
                <w:tblCellMar>
                  <w:top w:w="0" w:type="dxa"/>
                  <w:left w:w="108" w:type="dxa"/>
                  <w:bottom w:w="0" w:type="dxa"/>
                  <w:right w:w="108" w:type="dxa"/>
                </w:tblCellMar>
              </w:tblPrEx>
              <w:tc>
                <w:tcPr>
                  <w:tcW w:w="1619" w:type="dxa"/>
                  <w:tcBorders>
                    <w:top w:val="single" w:color="auto" w:sz="4" w:space="0"/>
                    <w:left w:val="single" w:color="auto" w:sz="4" w:space="0"/>
                    <w:bottom w:val="single" w:color="auto" w:sz="4" w:space="0"/>
                    <w:right w:val="single" w:color="auto" w:sz="4" w:space="0"/>
                  </w:tcBorders>
                  <w:vAlign w:val="center"/>
                </w:tcPr>
                <w:p>
                  <w:pPr>
                    <w:pStyle w:val="82"/>
                    <w:snapToGrid w:val="0"/>
                    <w:spacing w:line="300" w:lineRule="exact"/>
                    <w:ind w:firstLine="0" w:firstLineChars="0"/>
                    <w:jc w:val="center"/>
                    <w:rPr>
                      <w:rFonts w:ascii="Times New Roman" w:hAnsi="Times New Roman"/>
                      <w:color w:val="auto"/>
                    </w:rPr>
                  </w:pPr>
                  <w:r>
                    <w:rPr>
                      <w:rFonts w:ascii="Times New Roman" w:hAnsi="Times New Roman"/>
                      <w:color w:val="auto"/>
                    </w:rPr>
                    <w:t>“三线一单”</w:t>
                  </w:r>
                </w:p>
              </w:tc>
              <w:tc>
                <w:tcPr>
                  <w:tcW w:w="4937" w:type="dxa"/>
                  <w:tcBorders>
                    <w:top w:val="single" w:color="auto" w:sz="4" w:space="0"/>
                    <w:left w:val="nil"/>
                    <w:bottom w:val="single" w:color="auto" w:sz="4" w:space="0"/>
                    <w:right w:val="single" w:color="auto" w:sz="4" w:space="0"/>
                  </w:tcBorders>
                  <w:vAlign w:val="center"/>
                </w:tcPr>
                <w:p>
                  <w:pPr>
                    <w:pStyle w:val="82"/>
                    <w:snapToGrid w:val="0"/>
                    <w:spacing w:line="300" w:lineRule="exact"/>
                    <w:ind w:firstLine="0" w:firstLineChars="0"/>
                    <w:jc w:val="center"/>
                    <w:rPr>
                      <w:rFonts w:ascii="Times New Roman" w:hAnsi="Times New Roman"/>
                      <w:color w:val="auto"/>
                    </w:rPr>
                  </w:pPr>
                  <w:r>
                    <w:rPr>
                      <w:rFonts w:hint="eastAsia" w:ascii="Times New Roman" w:hAnsi="Times New Roman"/>
                      <w:color w:val="auto"/>
                    </w:rPr>
                    <w:t>本项目情况</w:t>
                  </w:r>
                </w:p>
              </w:tc>
              <w:tc>
                <w:tcPr>
                  <w:tcW w:w="842" w:type="dxa"/>
                  <w:tcBorders>
                    <w:top w:val="single" w:color="auto" w:sz="4" w:space="0"/>
                    <w:left w:val="nil"/>
                    <w:bottom w:val="single" w:color="auto" w:sz="4" w:space="0"/>
                    <w:right w:val="single" w:color="auto" w:sz="4" w:space="0"/>
                  </w:tcBorders>
                  <w:vAlign w:val="center"/>
                </w:tcPr>
                <w:p>
                  <w:pPr>
                    <w:pStyle w:val="82"/>
                    <w:snapToGrid w:val="0"/>
                    <w:spacing w:line="300" w:lineRule="exact"/>
                    <w:ind w:firstLine="0" w:firstLineChars="0"/>
                    <w:jc w:val="center"/>
                    <w:rPr>
                      <w:rFonts w:ascii="Times New Roman" w:hAnsi="Times New Roman"/>
                      <w:color w:val="auto"/>
                    </w:rPr>
                  </w:pPr>
                  <w:r>
                    <w:rPr>
                      <w:rFonts w:ascii="Times New Roman" w:hAnsi="Times New Roman"/>
                      <w:color w:val="auto"/>
                    </w:rPr>
                    <w:t>符合性</w:t>
                  </w:r>
                </w:p>
              </w:tc>
            </w:tr>
            <w:tr>
              <w:tblPrEx>
                <w:tblCellMar>
                  <w:top w:w="0" w:type="dxa"/>
                  <w:left w:w="108" w:type="dxa"/>
                  <w:bottom w:w="0" w:type="dxa"/>
                  <w:right w:w="108" w:type="dxa"/>
                </w:tblCellMar>
              </w:tblPrEx>
              <w:tc>
                <w:tcPr>
                  <w:tcW w:w="1619" w:type="dxa"/>
                  <w:tcBorders>
                    <w:top w:val="single" w:color="auto" w:sz="4" w:space="0"/>
                    <w:left w:val="single" w:color="auto" w:sz="4" w:space="0"/>
                    <w:bottom w:val="single" w:color="auto" w:sz="4" w:space="0"/>
                    <w:right w:val="single" w:color="auto" w:sz="4" w:space="0"/>
                  </w:tcBorders>
                  <w:vAlign w:val="center"/>
                </w:tcPr>
                <w:p>
                  <w:pPr>
                    <w:pStyle w:val="82"/>
                    <w:snapToGrid w:val="0"/>
                    <w:spacing w:line="300" w:lineRule="exact"/>
                    <w:ind w:firstLine="0" w:firstLineChars="0"/>
                    <w:jc w:val="center"/>
                    <w:rPr>
                      <w:rFonts w:ascii="Times New Roman" w:hAnsi="Times New Roman"/>
                      <w:color w:val="auto"/>
                    </w:rPr>
                  </w:pPr>
                  <w:r>
                    <w:rPr>
                      <w:rFonts w:ascii="Times New Roman" w:hAnsi="Times New Roman"/>
                      <w:color w:val="auto"/>
                    </w:rPr>
                    <w:t>生态保护红线</w:t>
                  </w:r>
                </w:p>
              </w:tc>
              <w:tc>
                <w:tcPr>
                  <w:tcW w:w="4937" w:type="dxa"/>
                  <w:tcBorders>
                    <w:top w:val="single" w:color="auto" w:sz="4" w:space="0"/>
                    <w:left w:val="nil"/>
                    <w:bottom w:val="single" w:color="auto" w:sz="4" w:space="0"/>
                    <w:right w:val="single" w:color="auto" w:sz="4" w:space="0"/>
                  </w:tcBorders>
                  <w:vAlign w:val="center"/>
                </w:tcPr>
                <w:p>
                  <w:pPr>
                    <w:pStyle w:val="82"/>
                    <w:snapToGrid w:val="0"/>
                    <w:spacing w:line="300" w:lineRule="exact"/>
                    <w:ind w:firstLine="0" w:firstLineChars="0"/>
                    <w:jc w:val="center"/>
                    <w:rPr>
                      <w:rFonts w:ascii="Times New Roman" w:hAnsi="Times New Roman"/>
                      <w:color w:val="auto"/>
                    </w:rPr>
                  </w:pPr>
                  <w:r>
                    <w:rPr>
                      <w:rFonts w:ascii="Times New Roman" w:hAnsi="Times New Roman"/>
                      <w:color w:val="auto"/>
                    </w:rPr>
                    <w:t>本项目用地不涉及生态保护红线</w:t>
                  </w:r>
                </w:p>
              </w:tc>
              <w:tc>
                <w:tcPr>
                  <w:tcW w:w="842" w:type="dxa"/>
                  <w:tcBorders>
                    <w:top w:val="single" w:color="auto" w:sz="4" w:space="0"/>
                    <w:left w:val="nil"/>
                    <w:bottom w:val="single" w:color="auto" w:sz="4" w:space="0"/>
                    <w:right w:val="single" w:color="auto" w:sz="4" w:space="0"/>
                  </w:tcBorders>
                  <w:vAlign w:val="center"/>
                </w:tcPr>
                <w:p>
                  <w:pPr>
                    <w:pStyle w:val="82"/>
                    <w:snapToGrid w:val="0"/>
                    <w:spacing w:line="300" w:lineRule="exact"/>
                    <w:ind w:firstLine="0" w:firstLineChars="0"/>
                    <w:jc w:val="center"/>
                    <w:rPr>
                      <w:rFonts w:ascii="Times New Roman" w:hAnsi="Times New Roman"/>
                      <w:color w:val="auto"/>
                    </w:rPr>
                  </w:pPr>
                  <w:r>
                    <w:rPr>
                      <w:rFonts w:ascii="Times New Roman" w:hAnsi="Times New Roman"/>
                      <w:color w:val="auto"/>
                    </w:rPr>
                    <w:t>符合</w:t>
                  </w:r>
                </w:p>
              </w:tc>
            </w:tr>
            <w:tr>
              <w:tblPrEx>
                <w:tblCellMar>
                  <w:top w:w="0" w:type="dxa"/>
                  <w:left w:w="108" w:type="dxa"/>
                  <w:bottom w:w="0" w:type="dxa"/>
                  <w:right w:w="108" w:type="dxa"/>
                </w:tblCellMar>
              </w:tblPrEx>
              <w:tc>
                <w:tcPr>
                  <w:tcW w:w="1619" w:type="dxa"/>
                  <w:tcBorders>
                    <w:top w:val="single" w:color="auto" w:sz="4" w:space="0"/>
                    <w:left w:val="single" w:color="auto" w:sz="4" w:space="0"/>
                    <w:bottom w:val="single" w:color="auto" w:sz="4" w:space="0"/>
                    <w:right w:val="single" w:color="auto" w:sz="4" w:space="0"/>
                  </w:tcBorders>
                  <w:vAlign w:val="center"/>
                </w:tcPr>
                <w:p>
                  <w:pPr>
                    <w:pStyle w:val="82"/>
                    <w:snapToGrid w:val="0"/>
                    <w:spacing w:line="300" w:lineRule="exact"/>
                    <w:ind w:firstLine="0" w:firstLineChars="0"/>
                    <w:jc w:val="center"/>
                    <w:rPr>
                      <w:rFonts w:ascii="Times New Roman" w:hAnsi="Times New Roman"/>
                      <w:color w:val="auto"/>
                    </w:rPr>
                  </w:pPr>
                  <w:r>
                    <w:rPr>
                      <w:rFonts w:hint="eastAsia" w:ascii="Times New Roman" w:hAnsi="Times New Roman"/>
                      <w:color w:val="auto"/>
                    </w:rPr>
                    <w:t>环境质量底线</w:t>
                  </w:r>
                </w:p>
              </w:tc>
              <w:tc>
                <w:tcPr>
                  <w:tcW w:w="4937" w:type="dxa"/>
                  <w:tcBorders>
                    <w:top w:val="single" w:color="auto" w:sz="4" w:space="0"/>
                    <w:left w:val="nil"/>
                    <w:bottom w:val="single" w:color="auto" w:sz="4" w:space="0"/>
                    <w:right w:val="single" w:color="auto" w:sz="4" w:space="0"/>
                  </w:tcBorders>
                  <w:vAlign w:val="center"/>
                </w:tcPr>
                <w:p>
                  <w:pPr>
                    <w:pStyle w:val="82"/>
                    <w:snapToGrid w:val="0"/>
                    <w:spacing w:line="300" w:lineRule="exact"/>
                    <w:ind w:firstLine="0" w:firstLineChars="0"/>
                    <w:jc w:val="center"/>
                    <w:rPr>
                      <w:rFonts w:ascii="Times New Roman" w:hAnsi="Times New Roman"/>
                      <w:color w:val="auto"/>
                    </w:rPr>
                  </w:pPr>
                  <w:r>
                    <w:rPr>
                      <w:rFonts w:hint="eastAsia" w:ascii="Times New Roman" w:hAnsi="Times New Roman"/>
                      <w:color w:val="auto"/>
                    </w:rPr>
                    <w:t>根据陕西省生态环境厅办公室发布的全省2022年《环保快报》，定边县所属区域为环境空气质量达标区。</w:t>
                  </w:r>
                </w:p>
                <w:p>
                  <w:pPr>
                    <w:pStyle w:val="82"/>
                    <w:snapToGrid w:val="0"/>
                    <w:spacing w:line="300" w:lineRule="exact"/>
                    <w:ind w:firstLine="0" w:firstLineChars="0"/>
                    <w:jc w:val="center"/>
                    <w:rPr>
                      <w:rFonts w:ascii="Times New Roman" w:hAnsi="Times New Roman"/>
                      <w:color w:val="auto"/>
                    </w:rPr>
                  </w:pPr>
                  <w:r>
                    <w:rPr>
                      <w:rFonts w:hint="eastAsia" w:ascii="Times New Roman" w:hAnsi="Times New Roman"/>
                      <w:color w:val="auto"/>
                    </w:rPr>
                    <w:t>根据现状监测结果，评价区非甲烷总烃浓度值符合</w:t>
                  </w:r>
                  <w:r>
                    <w:rPr>
                      <w:rFonts w:ascii="Times New Roman" w:hAnsi="Times New Roman"/>
                      <w:color w:val="auto"/>
                    </w:rPr>
                    <w:t>《大气污染物综合排放标准详解》中限值</w:t>
                  </w:r>
                  <w:r>
                    <w:rPr>
                      <w:rFonts w:hint="eastAsia" w:ascii="Times New Roman" w:hAnsi="Times New Roman"/>
                      <w:color w:val="auto"/>
                    </w:rPr>
                    <w:t>的要求。项目区昼夜等效声级均符合《声环境质量标准》（GB3096-2008）2类标准。根据环境影响分析，在采取本环评提出的措施合理处置各项污染物后，本项目建设对周边的影响较小，不触及环境质量底线。</w:t>
                  </w:r>
                </w:p>
              </w:tc>
              <w:tc>
                <w:tcPr>
                  <w:tcW w:w="842" w:type="dxa"/>
                  <w:tcBorders>
                    <w:top w:val="single" w:color="auto" w:sz="4" w:space="0"/>
                    <w:left w:val="nil"/>
                    <w:bottom w:val="single" w:color="auto" w:sz="4" w:space="0"/>
                    <w:right w:val="single" w:color="auto" w:sz="4" w:space="0"/>
                  </w:tcBorders>
                  <w:vAlign w:val="center"/>
                </w:tcPr>
                <w:p>
                  <w:pPr>
                    <w:pStyle w:val="82"/>
                    <w:snapToGrid w:val="0"/>
                    <w:spacing w:line="300" w:lineRule="exact"/>
                    <w:ind w:firstLine="0" w:firstLineChars="0"/>
                    <w:jc w:val="center"/>
                    <w:rPr>
                      <w:rFonts w:ascii="Times New Roman" w:hAnsi="Times New Roman"/>
                      <w:color w:val="auto"/>
                    </w:rPr>
                  </w:pPr>
                  <w:r>
                    <w:rPr>
                      <w:rFonts w:hint="eastAsia" w:ascii="Times New Roman" w:hAnsi="Times New Roman"/>
                      <w:color w:val="auto"/>
                    </w:rPr>
                    <w:t>符合</w:t>
                  </w:r>
                </w:p>
              </w:tc>
            </w:tr>
            <w:tr>
              <w:tblPrEx>
                <w:tblCellMar>
                  <w:top w:w="0" w:type="dxa"/>
                  <w:left w:w="108" w:type="dxa"/>
                  <w:bottom w:w="0" w:type="dxa"/>
                  <w:right w:w="108" w:type="dxa"/>
                </w:tblCellMar>
              </w:tblPrEx>
              <w:tc>
                <w:tcPr>
                  <w:tcW w:w="1619" w:type="dxa"/>
                  <w:tcBorders>
                    <w:top w:val="single" w:color="auto" w:sz="4" w:space="0"/>
                    <w:left w:val="single" w:color="auto" w:sz="4" w:space="0"/>
                    <w:bottom w:val="single" w:color="auto" w:sz="4" w:space="0"/>
                    <w:right w:val="single" w:color="auto" w:sz="4" w:space="0"/>
                  </w:tcBorders>
                  <w:vAlign w:val="center"/>
                </w:tcPr>
                <w:p>
                  <w:pPr>
                    <w:pStyle w:val="82"/>
                    <w:snapToGrid w:val="0"/>
                    <w:spacing w:line="300" w:lineRule="exact"/>
                    <w:ind w:firstLine="0" w:firstLineChars="0"/>
                    <w:jc w:val="center"/>
                    <w:rPr>
                      <w:rFonts w:ascii="Times New Roman" w:hAnsi="Times New Roman"/>
                      <w:color w:val="auto"/>
                    </w:rPr>
                  </w:pPr>
                  <w:r>
                    <w:rPr>
                      <w:rFonts w:ascii="Times New Roman" w:hAnsi="Times New Roman"/>
                      <w:color w:val="auto"/>
                    </w:rPr>
                    <w:t>资源利用上线</w:t>
                  </w:r>
                </w:p>
              </w:tc>
              <w:tc>
                <w:tcPr>
                  <w:tcW w:w="4937" w:type="dxa"/>
                  <w:tcBorders>
                    <w:top w:val="single" w:color="auto" w:sz="4" w:space="0"/>
                    <w:left w:val="nil"/>
                    <w:bottom w:val="single" w:color="auto" w:sz="4" w:space="0"/>
                    <w:right w:val="single" w:color="auto" w:sz="4" w:space="0"/>
                  </w:tcBorders>
                  <w:vAlign w:val="center"/>
                </w:tcPr>
                <w:p>
                  <w:pPr>
                    <w:pStyle w:val="82"/>
                    <w:snapToGrid w:val="0"/>
                    <w:spacing w:line="300" w:lineRule="exact"/>
                    <w:ind w:firstLine="0" w:firstLineChars="0"/>
                    <w:jc w:val="center"/>
                    <w:rPr>
                      <w:rFonts w:ascii="Times New Roman" w:hAnsi="Times New Roman"/>
                      <w:color w:val="auto"/>
                    </w:rPr>
                  </w:pPr>
                  <w:r>
                    <w:rPr>
                      <w:rFonts w:ascii="Times New Roman" w:hAnsi="Times New Roman"/>
                      <w:color w:val="auto"/>
                    </w:rPr>
                    <w:t>本项目</w:t>
                  </w:r>
                  <w:r>
                    <w:rPr>
                      <w:rFonts w:hint="eastAsia" w:ascii="Times New Roman" w:hAnsi="Times New Roman"/>
                      <w:color w:val="auto"/>
                    </w:rPr>
                    <w:t>属于环境保护与资源节约综合利用项目</w:t>
                  </w:r>
                  <w:r>
                    <w:rPr>
                      <w:rFonts w:ascii="Times New Roman" w:hAnsi="Times New Roman"/>
                      <w:color w:val="auto"/>
                    </w:rPr>
                    <w:t>，不触及资源利用上线</w:t>
                  </w:r>
                </w:p>
              </w:tc>
              <w:tc>
                <w:tcPr>
                  <w:tcW w:w="842" w:type="dxa"/>
                  <w:tcBorders>
                    <w:top w:val="single" w:color="auto" w:sz="4" w:space="0"/>
                    <w:left w:val="nil"/>
                    <w:bottom w:val="single" w:color="auto" w:sz="4" w:space="0"/>
                    <w:right w:val="single" w:color="auto" w:sz="4" w:space="0"/>
                  </w:tcBorders>
                  <w:vAlign w:val="center"/>
                </w:tcPr>
                <w:p>
                  <w:pPr>
                    <w:pStyle w:val="82"/>
                    <w:snapToGrid w:val="0"/>
                    <w:spacing w:line="300" w:lineRule="exact"/>
                    <w:ind w:firstLine="0" w:firstLineChars="0"/>
                    <w:jc w:val="center"/>
                    <w:rPr>
                      <w:rFonts w:ascii="Times New Roman" w:hAnsi="Times New Roman"/>
                      <w:color w:val="auto"/>
                    </w:rPr>
                  </w:pPr>
                  <w:r>
                    <w:rPr>
                      <w:rFonts w:ascii="Times New Roman" w:hAnsi="Times New Roman"/>
                      <w:color w:val="auto"/>
                    </w:rPr>
                    <w:t>符合</w:t>
                  </w:r>
                </w:p>
              </w:tc>
            </w:tr>
            <w:tr>
              <w:tblPrEx>
                <w:tblCellMar>
                  <w:top w:w="0" w:type="dxa"/>
                  <w:left w:w="108" w:type="dxa"/>
                  <w:bottom w:w="0" w:type="dxa"/>
                  <w:right w:w="108" w:type="dxa"/>
                </w:tblCellMar>
              </w:tblPrEx>
              <w:tc>
                <w:tcPr>
                  <w:tcW w:w="1619" w:type="dxa"/>
                  <w:tcBorders>
                    <w:top w:val="single" w:color="auto" w:sz="4" w:space="0"/>
                    <w:left w:val="single" w:color="auto" w:sz="4" w:space="0"/>
                    <w:bottom w:val="single" w:color="auto" w:sz="4" w:space="0"/>
                    <w:right w:val="single" w:color="auto" w:sz="4" w:space="0"/>
                  </w:tcBorders>
                  <w:vAlign w:val="center"/>
                </w:tcPr>
                <w:p>
                  <w:pPr>
                    <w:pStyle w:val="82"/>
                    <w:snapToGrid w:val="0"/>
                    <w:spacing w:line="300" w:lineRule="exact"/>
                    <w:ind w:firstLine="0" w:firstLineChars="0"/>
                    <w:jc w:val="center"/>
                    <w:rPr>
                      <w:rFonts w:ascii="Times New Roman" w:hAnsi="Times New Roman"/>
                      <w:color w:val="auto"/>
                    </w:rPr>
                  </w:pPr>
                  <w:r>
                    <w:rPr>
                      <w:rFonts w:hint="eastAsia" w:ascii="Times New Roman" w:hAnsi="Times New Roman"/>
                      <w:color w:val="auto"/>
                    </w:rPr>
                    <w:t>生态环境准入</w:t>
                  </w:r>
                  <w:r>
                    <w:rPr>
                      <w:rFonts w:ascii="Times New Roman" w:hAnsi="Times New Roman"/>
                      <w:color w:val="auto"/>
                    </w:rPr>
                    <w:t>清单</w:t>
                  </w:r>
                </w:p>
              </w:tc>
              <w:tc>
                <w:tcPr>
                  <w:tcW w:w="4937" w:type="dxa"/>
                  <w:tcBorders>
                    <w:top w:val="single" w:color="auto" w:sz="4" w:space="0"/>
                    <w:left w:val="nil"/>
                    <w:bottom w:val="single" w:color="auto" w:sz="4" w:space="0"/>
                    <w:right w:val="single" w:color="auto" w:sz="4" w:space="0"/>
                  </w:tcBorders>
                  <w:vAlign w:val="center"/>
                </w:tcPr>
                <w:p>
                  <w:pPr>
                    <w:pStyle w:val="82"/>
                    <w:snapToGrid w:val="0"/>
                    <w:spacing w:line="300" w:lineRule="exact"/>
                    <w:ind w:firstLine="0" w:firstLineChars="0"/>
                    <w:jc w:val="center"/>
                    <w:rPr>
                      <w:rFonts w:ascii="Times New Roman" w:hAnsi="Times New Roman"/>
                      <w:color w:val="auto"/>
                    </w:rPr>
                  </w:pPr>
                  <w:r>
                    <w:rPr>
                      <w:rFonts w:ascii="Times New Roman" w:hAnsi="Times New Roman"/>
                      <w:color w:val="auto"/>
                    </w:rPr>
                    <w:t>根据《榆林市“三线一单”生态环境分区管控方案》（榆政发[2021]17号）分析，项目符合</w:t>
                  </w:r>
                  <w:r>
                    <w:rPr>
                      <w:rFonts w:hint="eastAsia" w:ascii="Times New Roman" w:hAnsi="Times New Roman"/>
                      <w:color w:val="auto"/>
                    </w:rPr>
                    <w:t>生态环境准入清单</w:t>
                  </w:r>
                  <w:r>
                    <w:rPr>
                      <w:rFonts w:ascii="Times New Roman" w:hAnsi="Times New Roman"/>
                      <w:color w:val="auto"/>
                    </w:rPr>
                    <w:t>要求</w:t>
                  </w:r>
                </w:p>
              </w:tc>
              <w:tc>
                <w:tcPr>
                  <w:tcW w:w="842" w:type="dxa"/>
                  <w:tcBorders>
                    <w:top w:val="single" w:color="auto" w:sz="4" w:space="0"/>
                    <w:left w:val="nil"/>
                    <w:bottom w:val="single" w:color="auto" w:sz="4" w:space="0"/>
                    <w:right w:val="single" w:color="auto" w:sz="4" w:space="0"/>
                  </w:tcBorders>
                  <w:vAlign w:val="center"/>
                </w:tcPr>
                <w:p>
                  <w:pPr>
                    <w:pStyle w:val="82"/>
                    <w:snapToGrid w:val="0"/>
                    <w:spacing w:line="300" w:lineRule="exact"/>
                    <w:ind w:firstLine="0" w:firstLineChars="0"/>
                    <w:jc w:val="center"/>
                    <w:rPr>
                      <w:rFonts w:ascii="Times New Roman" w:hAnsi="Times New Roman"/>
                      <w:color w:val="auto"/>
                    </w:rPr>
                  </w:pPr>
                  <w:r>
                    <w:rPr>
                      <w:rFonts w:ascii="Times New Roman" w:hAnsi="Times New Roman"/>
                      <w:color w:val="auto"/>
                    </w:rPr>
                    <w:t>符合</w:t>
                  </w:r>
                </w:p>
              </w:tc>
            </w:tr>
          </w:tbl>
          <w:p>
            <w:pPr>
              <w:pStyle w:val="82"/>
              <w:spacing w:line="360" w:lineRule="auto"/>
              <w:ind w:firstLine="482"/>
              <w:rPr>
                <w:rFonts w:ascii="Times New Roman" w:hAnsi="Times New Roman"/>
                <w:b/>
                <w:bCs/>
                <w:color w:val="auto"/>
                <w:sz w:val="24"/>
              </w:rPr>
            </w:pPr>
            <w:r>
              <w:rPr>
                <w:rFonts w:hint="eastAsia" w:ascii="Times New Roman" w:hAnsi="Times New Roman"/>
                <w:b/>
                <w:bCs/>
                <w:color w:val="auto"/>
                <w:sz w:val="24"/>
              </w:rPr>
              <w:t>3</w:t>
            </w:r>
            <w:r>
              <w:rPr>
                <w:rFonts w:ascii="Times New Roman" w:hAnsi="Times New Roman"/>
                <w:b/>
                <w:bCs/>
                <w:color w:val="auto"/>
                <w:sz w:val="24"/>
              </w:rPr>
              <w:t>、</w:t>
            </w:r>
            <w:r>
              <w:rPr>
                <w:rFonts w:hint="eastAsia" w:ascii="Times New Roman" w:hAnsi="Times New Roman"/>
                <w:b/>
                <w:bCs/>
                <w:color w:val="auto"/>
                <w:sz w:val="24"/>
              </w:rPr>
              <w:t>与《榆林市人民政府关于印发榆林市“三线一单”生态环境分区管控方案的通知》</w:t>
            </w:r>
            <w:r>
              <w:rPr>
                <w:rFonts w:ascii="Times New Roman" w:hAnsi="Times New Roman"/>
                <w:b/>
                <w:bCs/>
                <w:color w:val="auto"/>
                <w:sz w:val="24"/>
              </w:rPr>
              <w:t>符合性分析</w:t>
            </w:r>
          </w:p>
          <w:p>
            <w:pPr>
              <w:spacing w:line="360" w:lineRule="auto"/>
              <w:ind w:firstLine="480" w:firstLineChars="200"/>
              <w:rPr>
                <w:color w:val="auto"/>
                <w:sz w:val="24"/>
              </w:rPr>
            </w:pPr>
            <w:r>
              <w:rPr>
                <w:rFonts w:hint="eastAsia"/>
                <w:color w:val="auto"/>
                <w:sz w:val="24"/>
              </w:rPr>
              <w:t>项目与《榆林市人民政府关于印发榆林市“三线一单”生态环境分区管控方案的通知》（榆政发[2021]17号）的符合性分析详见表1-3和表1-4。</w:t>
            </w:r>
          </w:p>
          <w:p>
            <w:pPr>
              <w:pStyle w:val="82"/>
              <w:snapToGrid w:val="0"/>
              <w:spacing w:line="360" w:lineRule="auto"/>
              <w:ind w:firstLine="0" w:firstLineChars="0"/>
              <w:jc w:val="center"/>
              <w:rPr>
                <w:rFonts w:ascii="Times New Roman" w:hAnsi="Times New Roman" w:eastAsia="黑体"/>
                <w:color w:val="auto"/>
              </w:rPr>
            </w:pPr>
            <w:r>
              <w:rPr>
                <w:rFonts w:hint="eastAsia" w:ascii="Times New Roman" w:hAnsi="Times New Roman" w:eastAsia="黑体"/>
                <w:color w:val="auto"/>
              </w:rPr>
              <w:t>表1-3  项目与《榆林市人民政府关于印发榆林市“三线一单”生态环境分区管控方案的通知》的符合性分析表</w:t>
            </w:r>
          </w:p>
          <w:tbl>
            <w:tblPr>
              <w:tblStyle w:val="34"/>
              <w:tblW w:w="75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90"/>
              <w:gridCol w:w="420"/>
              <w:gridCol w:w="705"/>
              <w:gridCol w:w="720"/>
              <w:gridCol w:w="880"/>
              <w:gridCol w:w="1710"/>
              <w:gridCol w:w="840"/>
              <w:gridCol w:w="16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Align w:val="center"/>
                </w:tcPr>
                <w:p>
                  <w:pPr>
                    <w:spacing w:line="240" w:lineRule="atLeast"/>
                    <w:jc w:val="center"/>
                    <w:rPr>
                      <w:color w:val="auto"/>
                    </w:rPr>
                  </w:pPr>
                  <w:r>
                    <w:rPr>
                      <w:rFonts w:hint="eastAsia"/>
                      <w:color w:val="auto"/>
                    </w:rPr>
                    <w:t>市（区）</w:t>
                  </w:r>
                </w:p>
              </w:tc>
              <w:tc>
                <w:tcPr>
                  <w:tcW w:w="420" w:type="dxa"/>
                  <w:vAlign w:val="center"/>
                </w:tcPr>
                <w:p>
                  <w:pPr>
                    <w:spacing w:line="240" w:lineRule="atLeast"/>
                    <w:jc w:val="center"/>
                    <w:rPr>
                      <w:color w:val="auto"/>
                    </w:rPr>
                  </w:pPr>
                  <w:r>
                    <w:rPr>
                      <w:rFonts w:hint="eastAsia"/>
                      <w:color w:val="auto"/>
                    </w:rPr>
                    <w:t>区县</w:t>
                  </w:r>
                </w:p>
              </w:tc>
              <w:tc>
                <w:tcPr>
                  <w:tcW w:w="705" w:type="dxa"/>
                  <w:vAlign w:val="center"/>
                </w:tcPr>
                <w:p>
                  <w:pPr>
                    <w:spacing w:line="240" w:lineRule="atLeast"/>
                    <w:jc w:val="center"/>
                    <w:rPr>
                      <w:color w:val="auto"/>
                    </w:rPr>
                  </w:pPr>
                  <w:r>
                    <w:rPr>
                      <w:rFonts w:hint="eastAsia"/>
                      <w:color w:val="auto"/>
                    </w:rPr>
                    <w:t>环境管控单元名称</w:t>
                  </w:r>
                </w:p>
              </w:tc>
              <w:tc>
                <w:tcPr>
                  <w:tcW w:w="720" w:type="dxa"/>
                  <w:vAlign w:val="center"/>
                </w:tcPr>
                <w:p>
                  <w:pPr>
                    <w:spacing w:line="240" w:lineRule="atLeast"/>
                    <w:jc w:val="center"/>
                    <w:rPr>
                      <w:color w:val="auto"/>
                    </w:rPr>
                  </w:pPr>
                  <w:r>
                    <w:rPr>
                      <w:rFonts w:hint="eastAsia"/>
                      <w:color w:val="auto"/>
                    </w:rPr>
                    <w:t>单元要素属性</w:t>
                  </w:r>
                </w:p>
              </w:tc>
              <w:tc>
                <w:tcPr>
                  <w:tcW w:w="880" w:type="dxa"/>
                  <w:vAlign w:val="center"/>
                </w:tcPr>
                <w:p>
                  <w:pPr>
                    <w:spacing w:line="240" w:lineRule="atLeast"/>
                    <w:jc w:val="center"/>
                    <w:rPr>
                      <w:color w:val="auto"/>
                    </w:rPr>
                  </w:pPr>
                  <w:r>
                    <w:rPr>
                      <w:rFonts w:hint="eastAsia"/>
                      <w:color w:val="auto"/>
                    </w:rPr>
                    <w:t>管控要求分类</w:t>
                  </w:r>
                </w:p>
              </w:tc>
              <w:tc>
                <w:tcPr>
                  <w:tcW w:w="1710" w:type="dxa"/>
                  <w:vAlign w:val="center"/>
                </w:tcPr>
                <w:p>
                  <w:pPr>
                    <w:spacing w:line="240" w:lineRule="atLeast"/>
                    <w:jc w:val="center"/>
                    <w:rPr>
                      <w:color w:val="auto"/>
                    </w:rPr>
                  </w:pPr>
                  <w:r>
                    <w:rPr>
                      <w:rFonts w:hint="eastAsia"/>
                      <w:color w:val="auto"/>
                    </w:rPr>
                    <w:t>管控要求</w:t>
                  </w:r>
                </w:p>
              </w:tc>
              <w:tc>
                <w:tcPr>
                  <w:tcW w:w="840" w:type="dxa"/>
                  <w:vAlign w:val="center"/>
                </w:tcPr>
                <w:p>
                  <w:pPr>
                    <w:spacing w:line="240" w:lineRule="atLeast"/>
                    <w:jc w:val="center"/>
                    <w:rPr>
                      <w:color w:val="auto"/>
                    </w:rPr>
                  </w:pPr>
                  <w:r>
                    <w:rPr>
                      <w:rFonts w:hint="eastAsia"/>
                      <w:color w:val="auto"/>
                    </w:rPr>
                    <w:t>面积/长度</w:t>
                  </w:r>
                </w:p>
              </w:tc>
              <w:tc>
                <w:tcPr>
                  <w:tcW w:w="1692" w:type="dxa"/>
                  <w:vAlign w:val="center"/>
                </w:tcPr>
                <w:p>
                  <w:pPr>
                    <w:spacing w:line="240" w:lineRule="atLeast"/>
                    <w:jc w:val="center"/>
                    <w:rPr>
                      <w:color w:val="auto"/>
                    </w:rPr>
                  </w:pPr>
                  <w:r>
                    <w:rPr>
                      <w:color w:val="auto"/>
                    </w:rPr>
                    <w:t>符合性</w:t>
                  </w:r>
                  <w:r>
                    <w:rPr>
                      <w:rFonts w:hint="eastAsia"/>
                      <w:color w:val="auto"/>
                    </w:rPr>
                    <w:t>分析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Merge w:val="restart"/>
                  <w:vAlign w:val="center"/>
                </w:tcPr>
                <w:p>
                  <w:pPr>
                    <w:spacing w:line="240" w:lineRule="atLeast"/>
                    <w:jc w:val="center"/>
                    <w:rPr>
                      <w:color w:val="auto"/>
                    </w:rPr>
                  </w:pPr>
                  <w:r>
                    <w:rPr>
                      <w:rFonts w:hint="eastAsia"/>
                      <w:color w:val="auto"/>
                    </w:rPr>
                    <w:t>榆林市</w:t>
                  </w:r>
                </w:p>
              </w:tc>
              <w:tc>
                <w:tcPr>
                  <w:tcW w:w="420" w:type="dxa"/>
                  <w:vMerge w:val="restart"/>
                  <w:vAlign w:val="center"/>
                </w:tcPr>
                <w:p>
                  <w:pPr>
                    <w:spacing w:line="240" w:lineRule="atLeast"/>
                    <w:jc w:val="center"/>
                    <w:rPr>
                      <w:color w:val="auto"/>
                    </w:rPr>
                  </w:pPr>
                  <w:r>
                    <w:rPr>
                      <w:rFonts w:hint="eastAsia"/>
                      <w:color w:val="auto"/>
                    </w:rPr>
                    <w:t>定边县</w:t>
                  </w:r>
                </w:p>
              </w:tc>
              <w:tc>
                <w:tcPr>
                  <w:tcW w:w="705" w:type="dxa"/>
                  <w:vMerge w:val="restart"/>
                  <w:vAlign w:val="center"/>
                </w:tcPr>
                <w:p>
                  <w:pPr>
                    <w:spacing w:line="240" w:lineRule="atLeast"/>
                    <w:jc w:val="center"/>
                    <w:rPr>
                      <w:color w:val="auto"/>
                    </w:rPr>
                  </w:pPr>
                  <w:r>
                    <w:rPr>
                      <w:rFonts w:hint="eastAsia"/>
                      <w:color w:val="auto"/>
                    </w:rPr>
                    <w:t>一般管控单元</w:t>
                  </w:r>
                </w:p>
              </w:tc>
              <w:tc>
                <w:tcPr>
                  <w:tcW w:w="720" w:type="dxa"/>
                  <w:vMerge w:val="restart"/>
                  <w:vAlign w:val="center"/>
                </w:tcPr>
                <w:p>
                  <w:pPr>
                    <w:spacing w:line="240" w:lineRule="atLeast"/>
                    <w:jc w:val="center"/>
                    <w:rPr>
                      <w:color w:val="auto"/>
                    </w:rPr>
                  </w:pPr>
                  <w:r>
                    <w:rPr>
                      <w:rFonts w:hint="eastAsia"/>
                      <w:color w:val="auto"/>
                    </w:rPr>
                    <w:t>5.1总体要求</w:t>
                  </w:r>
                </w:p>
              </w:tc>
              <w:tc>
                <w:tcPr>
                  <w:tcW w:w="880" w:type="dxa"/>
                  <w:vAlign w:val="center"/>
                </w:tcPr>
                <w:p>
                  <w:pPr>
                    <w:spacing w:line="240" w:lineRule="atLeast"/>
                    <w:jc w:val="center"/>
                    <w:rPr>
                      <w:color w:val="auto"/>
                    </w:rPr>
                  </w:pPr>
                  <w:r>
                    <w:rPr>
                      <w:rFonts w:hint="eastAsia"/>
                      <w:color w:val="auto"/>
                    </w:rPr>
                    <w:t>空间布局约束</w:t>
                  </w:r>
                </w:p>
              </w:tc>
              <w:tc>
                <w:tcPr>
                  <w:tcW w:w="1710" w:type="dxa"/>
                  <w:vAlign w:val="center"/>
                </w:tcPr>
                <w:p>
                  <w:pPr>
                    <w:spacing w:line="240" w:lineRule="atLeast"/>
                    <w:jc w:val="center"/>
                    <w:rPr>
                      <w:color w:val="auto"/>
                    </w:rPr>
                  </w:pPr>
                  <w:r>
                    <w:rPr>
                      <w:rFonts w:hint="eastAsia"/>
                      <w:color w:val="auto"/>
                    </w:rPr>
                    <w:t>执行全省、陕北地区、榆林市生态环境总体准入清单中空间布局约束相关要求。</w:t>
                  </w:r>
                </w:p>
              </w:tc>
              <w:tc>
                <w:tcPr>
                  <w:tcW w:w="840" w:type="dxa"/>
                  <w:vMerge w:val="restart"/>
                  <w:vAlign w:val="center"/>
                </w:tcPr>
                <w:p>
                  <w:pPr>
                    <w:spacing w:line="240" w:lineRule="atLeast"/>
                    <w:jc w:val="center"/>
                    <w:rPr>
                      <w:color w:val="auto"/>
                    </w:rPr>
                  </w:pPr>
                  <w:r>
                    <w:rPr>
                      <w:rFonts w:hint="eastAsia"/>
                      <w:color w:val="auto"/>
                    </w:rPr>
                    <w:t>11870㎡</w:t>
                  </w:r>
                </w:p>
              </w:tc>
              <w:tc>
                <w:tcPr>
                  <w:tcW w:w="1692" w:type="dxa"/>
                  <w:vMerge w:val="restart"/>
                  <w:vAlign w:val="center"/>
                </w:tcPr>
                <w:p>
                  <w:pPr>
                    <w:spacing w:line="240" w:lineRule="atLeast"/>
                    <w:jc w:val="center"/>
                    <w:rPr>
                      <w:color w:val="auto"/>
                    </w:rPr>
                  </w:pPr>
                  <w:r>
                    <w:rPr>
                      <w:rFonts w:hint="eastAsia"/>
                      <w:color w:val="auto"/>
                    </w:rPr>
                    <w:t>本项目为定边采油厂配套的采出水处理站项目，</w:t>
                  </w:r>
                  <w:r>
                    <w:rPr>
                      <w:color w:val="auto"/>
                    </w:rPr>
                    <w:t>本项目</w:t>
                  </w:r>
                  <w:r>
                    <w:rPr>
                      <w:rFonts w:hint="eastAsia"/>
                      <w:color w:val="auto"/>
                    </w:rPr>
                    <w:t>不涉及</w:t>
                  </w:r>
                  <w:r>
                    <w:rPr>
                      <w:color w:val="auto"/>
                    </w:rPr>
                    <w:t>生态保护红线</w:t>
                  </w:r>
                  <w:r>
                    <w:rPr>
                      <w:rFonts w:hint="eastAsia"/>
                      <w:color w:val="auto"/>
                    </w:rPr>
                    <w:t>，在采取环评提出的污染防控措施后，不会对周边环境产生不利影响，符合相关要求。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Merge w:val="continue"/>
                  <w:vAlign w:val="center"/>
                </w:tcPr>
                <w:p>
                  <w:pPr>
                    <w:spacing w:line="240" w:lineRule="atLeast"/>
                    <w:jc w:val="center"/>
                    <w:rPr>
                      <w:color w:val="auto"/>
                    </w:rPr>
                  </w:pPr>
                </w:p>
              </w:tc>
              <w:tc>
                <w:tcPr>
                  <w:tcW w:w="420" w:type="dxa"/>
                  <w:vMerge w:val="continue"/>
                  <w:vAlign w:val="center"/>
                </w:tcPr>
                <w:p>
                  <w:pPr>
                    <w:spacing w:line="240" w:lineRule="atLeast"/>
                    <w:jc w:val="center"/>
                    <w:rPr>
                      <w:color w:val="auto"/>
                    </w:rPr>
                  </w:pPr>
                </w:p>
              </w:tc>
              <w:tc>
                <w:tcPr>
                  <w:tcW w:w="705" w:type="dxa"/>
                  <w:vMerge w:val="continue"/>
                  <w:vAlign w:val="center"/>
                </w:tcPr>
                <w:p>
                  <w:pPr>
                    <w:spacing w:line="240" w:lineRule="atLeast"/>
                    <w:jc w:val="center"/>
                    <w:rPr>
                      <w:color w:val="auto"/>
                    </w:rPr>
                  </w:pPr>
                </w:p>
              </w:tc>
              <w:tc>
                <w:tcPr>
                  <w:tcW w:w="720" w:type="dxa"/>
                  <w:vMerge w:val="continue"/>
                  <w:vAlign w:val="center"/>
                </w:tcPr>
                <w:p>
                  <w:pPr>
                    <w:spacing w:line="240" w:lineRule="atLeast"/>
                    <w:jc w:val="center"/>
                    <w:rPr>
                      <w:color w:val="auto"/>
                    </w:rPr>
                  </w:pPr>
                </w:p>
              </w:tc>
              <w:tc>
                <w:tcPr>
                  <w:tcW w:w="880" w:type="dxa"/>
                  <w:vAlign w:val="center"/>
                </w:tcPr>
                <w:p>
                  <w:pPr>
                    <w:spacing w:line="240" w:lineRule="atLeast"/>
                    <w:jc w:val="center"/>
                    <w:rPr>
                      <w:color w:val="auto"/>
                    </w:rPr>
                  </w:pPr>
                  <w:r>
                    <w:rPr>
                      <w:rFonts w:hint="eastAsia"/>
                      <w:color w:val="auto"/>
                    </w:rPr>
                    <w:t>污染物排放管控</w:t>
                  </w:r>
                </w:p>
              </w:tc>
              <w:tc>
                <w:tcPr>
                  <w:tcW w:w="1710" w:type="dxa"/>
                  <w:vAlign w:val="center"/>
                </w:tcPr>
                <w:p>
                  <w:pPr>
                    <w:spacing w:line="240" w:lineRule="atLeast"/>
                    <w:jc w:val="center"/>
                    <w:rPr>
                      <w:color w:val="auto"/>
                    </w:rPr>
                  </w:pPr>
                  <w:r>
                    <w:rPr>
                      <w:rFonts w:hint="eastAsia"/>
                      <w:color w:val="auto"/>
                    </w:rPr>
                    <w:t>无</w:t>
                  </w:r>
                </w:p>
              </w:tc>
              <w:tc>
                <w:tcPr>
                  <w:tcW w:w="840" w:type="dxa"/>
                  <w:vMerge w:val="continue"/>
                  <w:vAlign w:val="center"/>
                </w:tcPr>
                <w:p>
                  <w:pPr>
                    <w:spacing w:line="240" w:lineRule="atLeast"/>
                    <w:jc w:val="center"/>
                    <w:rPr>
                      <w:color w:val="auto"/>
                      <w:szCs w:val="21"/>
                    </w:rPr>
                  </w:pPr>
                </w:p>
              </w:tc>
              <w:tc>
                <w:tcPr>
                  <w:tcW w:w="1692" w:type="dxa"/>
                  <w:vMerge w:val="continue"/>
                  <w:vAlign w:val="center"/>
                </w:tcPr>
                <w:p>
                  <w:pPr>
                    <w:spacing w:line="240" w:lineRule="atLeas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Merge w:val="continue"/>
                  <w:vAlign w:val="center"/>
                </w:tcPr>
                <w:p>
                  <w:pPr>
                    <w:spacing w:line="240" w:lineRule="atLeast"/>
                    <w:jc w:val="center"/>
                    <w:rPr>
                      <w:color w:val="auto"/>
                      <w:szCs w:val="21"/>
                    </w:rPr>
                  </w:pPr>
                </w:p>
              </w:tc>
              <w:tc>
                <w:tcPr>
                  <w:tcW w:w="420" w:type="dxa"/>
                  <w:vMerge w:val="continue"/>
                  <w:vAlign w:val="center"/>
                </w:tcPr>
                <w:p>
                  <w:pPr>
                    <w:spacing w:line="240" w:lineRule="atLeast"/>
                    <w:jc w:val="center"/>
                    <w:rPr>
                      <w:color w:val="auto"/>
                      <w:szCs w:val="21"/>
                    </w:rPr>
                  </w:pPr>
                </w:p>
              </w:tc>
              <w:tc>
                <w:tcPr>
                  <w:tcW w:w="705" w:type="dxa"/>
                  <w:vMerge w:val="continue"/>
                  <w:vAlign w:val="center"/>
                </w:tcPr>
                <w:p>
                  <w:pPr>
                    <w:spacing w:line="240" w:lineRule="atLeast"/>
                    <w:jc w:val="center"/>
                    <w:rPr>
                      <w:color w:val="auto"/>
                      <w:szCs w:val="21"/>
                    </w:rPr>
                  </w:pPr>
                </w:p>
              </w:tc>
              <w:tc>
                <w:tcPr>
                  <w:tcW w:w="720" w:type="dxa"/>
                  <w:vMerge w:val="continue"/>
                  <w:vAlign w:val="center"/>
                </w:tcPr>
                <w:p>
                  <w:pPr>
                    <w:spacing w:line="240" w:lineRule="atLeast"/>
                    <w:jc w:val="center"/>
                    <w:rPr>
                      <w:color w:val="auto"/>
                      <w:szCs w:val="21"/>
                    </w:rPr>
                  </w:pPr>
                </w:p>
              </w:tc>
              <w:tc>
                <w:tcPr>
                  <w:tcW w:w="880" w:type="dxa"/>
                  <w:vAlign w:val="center"/>
                </w:tcPr>
                <w:p>
                  <w:pPr>
                    <w:spacing w:line="240" w:lineRule="atLeast"/>
                    <w:jc w:val="center"/>
                    <w:rPr>
                      <w:color w:val="auto"/>
                    </w:rPr>
                  </w:pPr>
                  <w:r>
                    <w:rPr>
                      <w:rFonts w:hint="eastAsia"/>
                      <w:color w:val="auto"/>
                    </w:rPr>
                    <w:t>环境风险管控</w:t>
                  </w:r>
                </w:p>
              </w:tc>
              <w:tc>
                <w:tcPr>
                  <w:tcW w:w="1710" w:type="dxa"/>
                  <w:vAlign w:val="center"/>
                </w:tcPr>
                <w:p>
                  <w:pPr>
                    <w:spacing w:line="240" w:lineRule="atLeast"/>
                    <w:jc w:val="center"/>
                    <w:rPr>
                      <w:color w:val="auto"/>
                    </w:rPr>
                  </w:pPr>
                  <w:r>
                    <w:rPr>
                      <w:rFonts w:hint="eastAsia"/>
                      <w:color w:val="auto"/>
                    </w:rPr>
                    <w:t>无</w:t>
                  </w:r>
                </w:p>
              </w:tc>
              <w:tc>
                <w:tcPr>
                  <w:tcW w:w="840" w:type="dxa"/>
                  <w:vMerge w:val="continue"/>
                  <w:vAlign w:val="center"/>
                </w:tcPr>
                <w:p>
                  <w:pPr>
                    <w:spacing w:line="240" w:lineRule="atLeast"/>
                    <w:jc w:val="center"/>
                    <w:rPr>
                      <w:color w:val="auto"/>
                      <w:szCs w:val="21"/>
                    </w:rPr>
                  </w:pPr>
                </w:p>
              </w:tc>
              <w:tc>
                <w:tcPr>
                  <w:tcW w:w="1692" w:type="dxa"/>
                  <w:vMerge w:val="continue"/>
                  <w:vAlign w:val="center"/>
                </w:tcPr>
                <w:p>
                  <w:pPr>
                    <w:spacing w:line="240" w:lineRule="atLeas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90" w:type="dxa"/>
                  <w:vMerge w:val="continue"/>
                  <w:vAlign w:val="center"/>
                </w:tcPr>
                <w:p>
                  <w:pPr>
                    <w:spacing w:line="240" w:lineRule="atLeast"/>
                    <w:jc w:val="center"/>
                    <w:rPr>
                      <w:color w:val="auto"/>
                      <w:szCs w:val="21"/>
                    </w:rPr>
                  </w:pPr>
                </w:p>
              </w:tc>
              <w:tc>
                <w:tcPr>
                  <w:tcW w:w="420" w:type="dxa"/>
                  <w:vMerge w:val="continue"/>
                  <w:vAlign w:val="center"/>
                </w:tcPr>
                <w:p>
                  <w:pPr>
                    <w:spacing w:line="240" w:lineRule="atLeast"/>
                    <w:jc w:val="center"/>
                    <w:rPr>
                      <w:color w:val="auto"/>
                      <w:szCs w:val="21"/>
                    </w:rPr>
                  </w:pPr>
                </w:p>
              </w:tc>
              <w:tc>
                <w:tcPr>
                  <w:tcW w:w="705" w:type="dxa"/>
                  <w:vMerge w:val="continue"/>
                  <w:vAlign w:val="center"/>
                </w:tcPr>
                <w:p>
                  <w:pPr>
                    <w:spacing w:line="240" w:lineRule="atLeast"/>
                    <w:jc w:val="center"/>
                    <w:rPr>
                      <w:color w:val="auto"/>
                      <w:szCs w:val="21"/>
                    </w:rPr>
                  </w:pPr>
                </w:p>
              </w:tc>
              <w:tc>
                <w:tcPr>
                  <w:tcW w:w="720" w:type="dxa"/>
                  <w:vMerge w:val="continue"/>
                  <w:vAlign w:val="center"/>
                </w:tcPr>
                <w:p>
                  <w:pPr>
                    <w:spacing w:line="240" w:lineRule="atLeast"/>
                    <w:jc w:val="center"/>
                    <w:rPr>
                      <w:color w:val="auto"/>
                      <w:szCs w:val="21"/>
                    </w:rPr>
                  </w:pPr>
                </w:p>
              </w:tc>
              <w:tc>
                <w:tcPr>
                  <w:tcW w:w="880" w:type="dxa"/>
                  <w:vAlign w:val="center"/>
                </w:tcPr>
                <w:p>
                  <w:pPr>
                    <w:spacing w:line="240" w:lineRule="atLeast"/>
                    <w:jc w:val="center"/>
                    <w:rPr>
                      <w:color w:val="auto"/>
                    </w:rPr>
                  </w:pPr>
                  <w:r>
                    <w:rPr>
                      <w:rFonts w:hint="eastAsia"/>
                      <w:color w:val="auto"/>
                    </w:rPr>
                    <w:t>资源开发效率要求</w:t>
                  </w:r>
                </w:p>
              </w:tc>
              <w:tc>
                <w:tcPr>
                  <w:tcW w:w="1710" w:type="dxa"/>
                  <w:vAlign w:val="center"/>
                </w:tcPr>
                <w:p>
                  <w:pPr>
                    <w:spacing w:line="240" w:lineRule="atLeast"/>
                    <w:jc w:val="center"/>
                    <w:rPr>
                      <w:color w:val="auto"/>
                    </w:rPr>
                  </w:pPr>
                  <w:r>
                    <w:rPr>
                      <w:rFonts w:hint="eastAsia"/>
                      <w:color w:val="auto"/>
                    </w:rPr>
                    <w:t>无</w:t>
                  </w:r>
                </w:p>
              </w:tc>
              <w:tc>
                <w:tcPr>
                  <w:tcW w:w="840" w:type="dxa"/>
                  <w:vMerge w:val="continue"/>
                  <w:vAlign w:val="center"/>
                </w:tcPr>
                <w:p>
                  <w:pPr>
                    <w:spacing w:line="240" w:lineRule="atLeast"/>
                    <w:jc w:val="center"/>
                    <w:rPr>
                      <w:color w:val="auto"/>
                      <w:szCs w:val="21"/>
                    </w:rPr>
                  </w:pPr>
                </w:p>
              </w:tc>
              <w:tc>
                <w:tcPr>
                  <w:tcW w:w="1692" w:type="dxa"/>
                  <w:vMerge w:val="continue"/>
                  <w:vAlign w:val="center"/>
                </w:tcPr>
                <w:p>
                  <w:pPr>
                    <w:spacing w:line="240" w:lineRule="atLeast"/>
                    <w:jc w:val="center"/>
                    <w:rPr>
                      <w:color w:val="auto"/>
                      <w:szCs w:val="21"/>
                    </w:rPr>
                  </w:pPr>
                </w:p>
              </w:tc>
            </w:tr>
          </w:tbl>
          <w:p>
            <w:pPr>
              <w:pStyle w:val="82"/>
              <w:snapToGrid w:val="0"/>
              <w:spacing w:line="360" w:lineRule="auto"/>
              <w:ind w:firstLine="0" w:firstLineChars="0"/>
              <w:jc w:val="center"/>
              <w:rPr>
                <w:rFonts w:ascii="Times New Roman" w:hAnsi="Times New Roman" w:eastAsia="黑体"/>
                <w:color w:val="auto"/>
              </w:rPr>
            </w:pPr>
            <w:r>
              <w:rPr>
                <w:rFonts w:hint="eastAsia" w:ascii="Times New Roman" w:hAnsi="Times New Roman" w:eastAsia="黑体"/>
                <w:color w:val="auto"/>
              </w:rPr>
              <w:t>表1-4  项目与全省、陕北地区、榆林市生态环境总体准入清单中空间布局约束要求的符合性分析表</w:t>
            </w:r>
          </w:p>
          <w:tbl>
            <w:tblPr>
              <w:tblStyle w:val="34"/>
              <w:tblW w:w="75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5"/>
              <w:gridCol w:w="675"/>
              <w:gridCol w:w="4102"/>
              <w:gridCol w:w="1660"/>
              <w:gridCol w:w="44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75" w:type="dxa"/>
                  <w:noWrap w:val="0"/>
                  <w:vAlign w:val="center"/>
                </w:tcPr>
                <w:p>
                  <w:pPr>
                    <w:spacing w:line="240" w:lineRule="atLeast"/>
                    <w:jc w:val="center"/>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适用范围</w:t>
                  </w:r>
                </w:p>
              </w:tc>
              <w:tc>
                <w:tcPr>
                  <w:tcW w:w="675" w:type="dxa"/>
                  <w:noWrap w:val="0"/>
                  <w:vAlign w:val="center"/>
                </w:tcPr>
                <w:p>
                  <w:pPr>
                    <w:spacing w:line="240" w:lineRule="atLeast"/>
                    <w:jc w:val="center"/>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管控纬度</w:t>
                  </w:r>
                </w:p>
              </w:tc>
              <w:tc>
                <w:tcPr>
                  <w:tcW w:w="4102" w:type="dxa"/>
                  <w:noWrap w:val="0"/>
                  <w:vAlign w:val="center"/>
                </w:tcPr>
                <w:p>
                  <w:pPr>
                    <w:spacing w:line="240" w:lineRule="atLeast"/>
                    <w:jc w:val="center"/>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管控要求</w:t>
                  </w:r>
                </w:p>
              </w:tc>
              <w:tc>
                <w:tcPr>
                  <w:tcW w:w="1660" w:type="dxa"/>
                  <w:noWrap w:val="0"/>
                  <w:vAlign w:val="center"/>
                </w:tcPr>
                <w:p>
                  <w:pPr>
                    <w:spacing w:line="240" w:lineRule="atLeast"/>
                    <w:jc w:val="center"/>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本项目情况</w:t>
                  </w:r>
                </w:p>
              </w:tc>
              <w:tc>
                <w:tcPr>
                  <w:tcW w:w="445" w:type="dxa"/>
                  <w:noWrap w:val="0"/>
                  <w:vAlign w:val="center"/>
                </w:tcPr>
                <w:p>
                  <w:pPr>
                    <w:spacing w:line="240" w:lineRule="atLeast"/>
                    <w:jc w:val="center"/>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75" w:type="dxa"/>
                  <w:vMerge w:val="restart"/>
                  <w:noWrap w:val="0"/>
                  <w:vAlign w:val="center"/>
                </w:tcPr>
                <w:p>
                  <w:pPr>
                    <w:spacing w:line="240" w:lineRule="atLeast"/>
                    <w:jc w:val="center"/>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总体要求</w:t>
                  </w:r>
                </w:p>
              </w:tc>
              <w:tc>
                <w:tcPr>
                  <w:tcW w:w="675" w:type="dxa"/>
                  <w:vMerge w:val="restart"/>
                  <w:noWrap w:val="0"/>
                  <w:vAlign w:val="center"/>
                </w:tcPr>
                <w:p>
                  <w:pPr>
                    <w:spacing w:line="240" w:lineRule="atLeast"/>
                    <w:jc w:val="center"/>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空间布局约束</w:t>
                  </w:r>
                </w:p>
              </w:tc>
              <w:tc>
                <w:tcPr>
                  <w:tcW w:w="4102" w:type="dxa"/>
                  <w:noWrap w:val="0"/>
                  <w:vAlign w:val="center"/>
                </w:tcPr>
                <w:p>
                  <w:pPr>
                    <w:spacing w:line="240" w:lineRule="atLeast"/>
                    <w:jc w:val="center"/>
                    <w:rPr>
                      <w:rFonts w:hint="eastAsia"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以生态保护红线为核心,严格保护各类自然保护地和特色自然景观风貌,建设和修复生态空间网络,构筑以自然资</w:t>
                  </w:r>
                  <w:r>
                    <w:rPr>
                      <w:rFonts w:hint="default" w:ascii="Times New Roman" w:hAnsi="Times New Roman" w:eastAsia="宋体" w:cs="Times New Roman"/>
                      <w:color w:val="auto"/>
                      <w:lang w:val="en-US" w:eastAsia="zh-CN"/>
                    </w:rPr>
                    <w:t>源集中分布区域为生态源地、重要自然保护地为生态节点、河流水系廊道为纽带的“三廊三带多点”的生态安全格局。</w:t>
                  </w:r>
                  <w:r>
                    <w:rPr>
                      <w:rFonts w:ascii="Times New Roman" w:hAnsi="Times New Roman" w:eastAsia="宋体" w:cs="Times New Roman"/>
                      <w:color w:val="auto"/>
                      <w:lang w:val="en-US" w:eastAsia="zh-CN"/>
                    </w:rPr>
                    <w:t>基于区域生态安全格局，维育以黄土高原生态屏障、长城沿线防风固沙林带为主的陕北“一屏一带”生态屏障，</w:t>
                  </w:r>
                  <w:r>
                    <w:rPr>
                      <w:rFonts w:hint="default" w:ascii="Times New Roman" w:hAnsi="Times New Roman" w:eastAsia="宋体" w:cs="Times New Roman"/>
                      <w:color w:val="auto"/>
                      <w:lang w:val="en-US" w:eastAsia="zh-CN"/>
                    </w:rPr>
                    <w:t>重点协同建设“北部防风固沙生态屏障、东部黄河沿岸水土流失防治带、南部黄土高原水土流失防治带”三条防风固沙固土生态带。</w:t>
                  </w:r>
                </w:p>
              </w:tc>
              <w:tc>
                <w:tcPr>
                  <w:tcW w:w="1660" w:type="dxa"/>
                  <w:noWrap w:val="0"/>
                  <w:vAlign w:val="center"/>
                </w:tcPr>
                <w:p>
                  <w:pPr>
                    <w:spacing w:line="240" w:lineRule="atLeast"/>
                    <w:jc w:val="center"/>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本项目</w:t>
                  </w:r>
                  <w:r>
                    <w:rPr>
                      <w:rFonts w:hint="eastAsia" w:ascii="Times New Roman" w:hAnsi="Times New Roman" w:eastAsia="宋体" w:cs="Times New Roman"/>
                      <w:color w:val="auto"/>
                      <w:lang w:val="en-US" w:eastAsia="zh-CN"/>
                    </w:rPr>
                    <w:t>不涉及</w:t>
                  </w:r>
                  <w:r>
                    <w:rPr>
                      <w:rFonts w:ascii="Times New Roman" w:hAnsi="Times New Roman" w:eastAsia="宋体" w:cs="Times New Roman"/>
                      <w:color w:val="auto"/>
                      <w:lang w:val="en-US" w:eastAsia="zh-CN"/>
                    </w:rPr>
                    <w:t>生态保护红线</w:t>
                  </w:r>
                </w:p>
              </w:tc>
              <w:tc>
                <w:tcPr>
                  <w:tcW w:w="445" w:type="dxa"/>
                  <w:noWrap w:val="0"/>
                  <w:vAlign w:val="center"/>
                </w:tcPr>
                <w:p>
                  <w:pPr>
                    <w:spacing w:line="240" w:lineRule="atLeast"/>
                    <w:jc w:val="center"/>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75" w:type="dxa"/>
                  <w:vMerge w:val="continue"/>
                  <w:noWrap w:val="0"/>
                  <w:vAlign w:val="center"/>
                </w:tcPr>
                <w:p>
                  <w:pPr>
                    <w:spacing w:line="240" w:lineRule="atLeast"/>
                    <w:jc w:val="center"/>
                    <w:rPr>
                      <w:rFonts w:ascii="Times New Roman" w:hAnsi="Times New Roman" w:eastAsia="宋体" w:cs="Times New Roman"/>
                      <w:color w:val="auto"/>
                      <w:lang w:val="en-US" w:eastAsia="zh-CN"/>
                    </w:rPr>
                  </w:pPr>
                </w:p>
              </w:tc>
              <w:tc>
                <w:tcPr>
                  <w:tcW w:w="675" w:type="dxa"/>
                  <w:vMerge w:val="continue"/>
                  <w:noWrap w:val="0"/>
                  <w:vAlign w:val="center"/>
                </w:tcPr>
                <w:p>
                  <w:pPr>
                    <w:spacing w:line="240" w:lineRule="atLeast"/>
                    <w:jc w:val="center"/>
                    <w:rPr>
                      <w:rFonts w:ascii="Times New Roman" w:hAnsi="Times New Roman" w:eastAsia="宋体" w:cs="Times New Roman"/>
                      <w:color w:val="auto"/>
                      <w:lang w:val="en-US" w:eastAsia="zh-CN"/>
                    </w:rPr>
                  </w:pPr>
                </w:p>
              </w:tc>
              <w:tc>
                <w:tcPr>
                  <w:tcW w:w="4102" w:type="dxa"/>
                  <w:noWrap w:val="0"/>
                  <w:vAlign w:val="center"/>
                </w:tcPr>
                <w:p>
                  <w:pPr>
                    <w:spacing w:line="240" w:lineRule="atLeast"/>
                    <w:jc w:val="center"/>
                    <w:rPr>
                      <w:rFonts w:hint="eastAsia"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构建“一核三区、一轴二带”绿色低碳、多极多元的产业空间布局结构。西</w:t>
                  </w:r>
                  <w:r>
                    <w:rPr>
                      <w:rFonts w:hint="default" w:ascii="Times New Roman" w:hAnsi="Times New Roman" w:eastAsia="宋体" w:cs="Times New Roman"/>
                      <w:color w:val="auto"/>
                      <w:lang w:val="en-US" w:eastAsia="zh-CN"/>
                    </w:rPr>
                    <w:t>部油气综合利用区包括定边和靖边两县，依托靖边能源化工综合利用产业园、定边工业新区等重点园区，发展原油、天然气、油气化工等产业，加快培育风能和太阳能等新能源产业。</w:t>
                  </w:r>
                </w:p>
              </w:tc>
              <w:tc>
                <w:tcPr>
                  <w:tcW w:w="1660" w:type="dxa"/>
                  <w:noWrap w:val="0"/>
                  <w:vAlign w:val="center"/>
                </w:tcPr>
                <w:p>
                  <w:pPr>
                    <w:spacing w:line="240" w:lineRule="atLeas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本项目位于定边采油厂，主要</w:t>
                  </w:r>
                  <w:r>
                    <w:rPr>
                      <w:rFonts w:hint="default" w:ascii="Times New Roman" w:hAnsi="Times New Roman" w:eastAsia="宋体" w:cs="Times New Roman"/>
                      <w:color w:val="auto"/>
                      <w:lang w:val="en-US" w:eastAsia="zh-CN"/>
                    </w:rPr>
                    <w:t>发展原油产业</w:t>
                  </w:r>
                </w:p>
              </w:tc>
              <w:tc>
                <w:tcPr>
                  <w:tcW w:w="445" w:type="dxa"/>
                  <w:noWrap w:val="0"/>
                  <w:vAlign w:val="center"/>
                </w:tcPr>
                <w:p>
                  <w:pPr>
                    <w:spacing w:line="240" w:lineRule="atLeast"/>
                    <w:jc w:val="center"/>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75" w:type="dxa"/>
                  <w:vMerge w:val="continue"/>
                  <w:noWrap w:val="0"/>
                  <w:vAlign w:val="center"/>
                </w:tcPr>
                <w:p>
                  <w:pPr>
                    <w:spacing w:line="240" w:lineRule="atLeast"/>
                    <w:jc w:val="center"/>
                    <w:rPr>
                      <w:rFonts w:ascii="Times New Roman" w:hAnsi="Times New Roman" w:eastAsia="宋体" w:cs="Times New Roman"/>
                      <w:color w:val="auto"/>
                      <w:lang w:val="en-US" w:eastAsia="zh-CN"/>
                    </w:rPr>
                  </w:pPr>
                </w:p>
              </w:tc>
              <w:tc>
                <w:tcPr>
                  <w:tcW w:w="675" w:type="dxa"/>
                  <w:vMerge w:val="continue"/>
                  <w:noWrap w:val="0"/>
                  <w:vAlign w:val="center"/>
                </w:tcPr>
                <w:p>
                  <w:pPr>
                    <w:spacing w:line="240" w:lineRule="atLeast"/>
                    <w:jc w:val="center"/>
                    <w:rPr>
                      <w:rFonts w:ascii="Times New Roman" w:hAnsi="Times New Roman" w:eastAsia="宋体" w:cs="Times New Roman"/>
                      <w:color w:val="auto"/>
                      <w:lang w:val="en-US" w:eastAsia="zh-CN"/>
                    </w:rPr>
                  </w:pPr>
                </w:p>
              </w:tc>
              <w:tc>
                <w:tcPr>
                  <w:tcW w:w="4102" w:type="dxa"/>
                  <w:noWrap w:val="0"/>
                  <w:vAlign w:val="center"/>
                </w:tcPr>
                <w:p>
                  <w:pPr>
                    <w:spacing w:line="240" w:lineRule="atLeast"/>
                    <w:jc w:val="center"/>
                    <w:rPr>
                      <w:rFonts w:hint="eastAsia"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“两高”项目的准入需严格执行中央和我省相关政策。严格“两高”项目准入，石化、现代煤化工项目纳入产业</w:t>
                  </w:r>
                  <w:r>
                    <w:rPr>
                      <w:rFonts w:hint="default" w:ascii="Times New Roman" w:hAnsi="Times New Roman" w:eastAsia="宋体" w:cs="Times New Roman"/>
                      <w:color w:val="auto"/>
                      <w:lang w:val="en-US" w:eastAsia="zh-CN"/>
                    </w:rPr>
                    <w:t>规划。新建、扩建石化、化工、焦化、有色金属冶炼、平板玻璃项目应布设在依法合规设立并经规划环评的产业园区。</w:t>
                  </w:r>
                </w:p>
              </w:tc>
              <w:tc>
                <w:tcPr>
                  <w:tcW w:w="1660" w:type="dxa"/>
                  <w:noWrap w:val="0"/>
                  <w:vAlign w:val="center"/>
                </w:tcPr>
                <w:p>
                  <w:pPr>
                    <w:spacing w:line="240" w:lineRule="atLeast"/>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本项目不属于“两高”项目</w:t>
                  </w:r>
                </w:p>
              </w:tc>
              <w:tc>
                <w:tcPr>
                  <w:tcW w:w="445" w:type="dxa"/>
                  <w:noWrap w:val="0"/>
                  <w:vAlign w:val="center"/>
                </w:tcPr>
                <w:p>
                  <w:pPr>
                    <w:spacing w:line="240" w:lineRule="atLeast"/>
                    <w:jc w:val="center"/>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75" w:type="dxa"/>
                  <w:vMerge w:val="continue"/>
                  <w:noWrap w:val="0"/>
                  <w:vAlign w:val="center"/>
                </w:tcPr>
                <w:p>
                  <w:pPr>
                    <w:spacing w:line="240" w:lineRule="atLeast"/>
                    <w:jc w:val="center"/>
                    <w:rPr>
                      <w:rFonts w:ascii="Times New Roman" w:hAnsi="Times New Roman" w:eastAsia="宋体" w:cs="Times New Roman"/>
                      <w:color w:val="auto"/>
                      <w:lang w:val="en-US" w:eastAsia="zh-CN"/>
                    </w:rPr>
                  </w:pPr>
                </w:p>
              </w:tc>
              <w:tc>
                <w:tcPr>
                  <w:tcW w:w="675" w:type="dxa"/>
                  <w:vMerge w:val="continue"/>
                  <w:noWrap w:val="0"/>
                  <w:vAlign w:val="center"/>
                </w:tcPr>
                <w:p>
                  <w:pPr>
                    <w:spacing w:line="240" w:lineRule="atLeast"/>
                    <w:jc w:val="center"/>
                    <w:rPr>
                      <w:rFonts w:ascii="Times New Roman" w:hAnsi="Times New Roman" w:eastAsia="宋体" w:cs="Times New Roman"/>
                      <w:color w:val="auto"/>
                      <w:lang w:val="en-US" w:eastAsia="zh-CN"/>
                    </w:rPr>
                  </w:pPr>
                </w:p>
              </w:tc>
              <w:tc>
                <w:tcPr>
                  <w:tcW w:w="4102" w:type="dxa"/>
                  <w:noWrap w:val="0"/>
                  <w:vAlign w:val="center"/>
                </w:tcPr>
                <w:p>
                  <w:pPr>
                    <w:spacing w:line="240" w:lineRule="atLeast"/>
                    <w:jc w:val="center"/>
                    <w:rPr>
                      <w:rFonts w:hint="eastAsia"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沿黄重点县市区工业项目一律按要求进入合规工业园，严控高污染、高耗能、高耗水项目。</w:t>
                  </w:r>
                </w:p>
              </w:tc>
              <w:tc>
                <w:tcPr>
                  <w:tcW w:w="1660" w:type="dxa"/>
                  <w:noWrap w:val="0"/>
                  <w:vAlign w:val="center"/>
                </w:tcPr>
                <w:p>
                  <w:pPr>
                    <w:spacing w:line="240" w:lineRule="atLeast"/>
                    <w:jc w:val="center"/>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本项目不属于</w:t>
                  </w:r>
                  <w:r>
                    <w:rPr>
                      <w:rFonts w:ascii="Times New Roman" w:hAnsi="Times New Roman" w:eastAsia="宋体" w:cs="Times New Roman"/>
                      <w:color w:val="auto"/>
                      <w:lang w:val="en-US" w:eastAsia="zh-CN"/>
                    </w:rPr>
                    <w:t>沿黄重点县市区工业项目</w:t>
                  </w:r>
                  <w:r>
                    <w:rPr>
                      <w:rFonts w:hint="eastAsia" w:ascii="Times New Roman" w:hAnsi="Times New Roman" w:eastAsia="宋体" w:cs="Times New Roman"/>
                      <w:color w:val="auto"/>
                      <w:lang w:val="en-US" w:eastAsia="zh-CN"/>
                    </w:rPr>
                    <w:t>，不属于</w:t>
                  </w:r>
                  <w:r>
                    <w:rPr>
                      <w:rFonts w:ascii="Times New Roman" w:hAnsi="Times New Roman" w:eastAsia="宋体" w:cs="Times New Roman"/>
                      <w:color w:val="auto"/>
                      <w:lang w:val="en-US" w:eastAsia="zh-CN"/>
                    </w:rPr>
                    <w:t>高污染、高耗能、高耗水项目</w:t>
                  </w:r>
                </w:p>
              </w:tc>
              <w:tc>
                <w:tcPr>
                  <w:tcW w:w="445" w:type="dxa"/>
                  <w:noWrap w:val="0"/>
                  <w:vAlign w:val="center"/>
                </w:tcPr>
                <w:p>
                  <w:pPr>
                    <w:spacing w:line="240" w:lineRule="atLeast"/>
                    <w:jc w:val="center"/>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符合</w:t>
                  </w:r>
                </w:p>
              </w:tc>
            </w:tr>
          </w:tbl>
          <w:p>
            <w:pPr>
              <w:spacing w:line="360" w:lineRule="auto"/>
              <w:ind w:firstLine="482" w:firstLineChars="200"/>
              <w:rPr>
                <w:b/>
                <w:bCs/>
                <w:color w:val="auto"/>
                <w:sz w:val="24"/>
              </w:rPr>
            </w:pPr>
            <w:r>
              <w:rPr>
                <w:rFonts w:hint="eastAsia"/>
                <w:b/>
                <w:bCs/>
                <w:color w:val="auto"/>
                <w:sz w:val="24"/>
              </w:rPr>
              <w:t>4</w:t>
            </w:r>
            <w:r>
              <w:rPr>
                <w:b/>
                <w:bCs/>
                <w:color w:val="auto"/>
                <w:sz w:val="24"/>
              </w:rPr>
              <w:t>、“多规合一”符合性分析</w:t>
            </w:r>
          </w:p>
          <w:p>
            <w:pPr>
              <w:pStyle w:val="82"/>
              <w:spacing w:line="360" w:lineRule="auto"/>
              <w:ind w:firstLine="480"/>
              <w:rPr>
                <w:rFonts w:ascii="Times New Roman" w:hAnsi="Times New Roman"/>
                <w:color w:val="auto"/>
                <w:sz w:val="24"/>
              </w:rPr>
            </w:pPr>
            <w:r>
              <w:rPr>
                <w:rFonts w:hint="eastAsia" w:ascii="Times New Roman" w:hAnsi="Times New Roman"/>
                <w:color w:val="auto"/>
                <w:sz w:val="24"/>
              </w:rPr>
              <w:t>本项目在定边采油厂现有站场占地范围内建设，不新增用地。</w:t>
            </w:r>
            <w:r>
              <w:rPr>
                <w:rFonts w:hint="eastAsia" w:ascii="Times New Roman" w:hAnsi="Times New Roman"/>
                <w:color w:val="auto"/>
                <w:sz w:val="24"/>
              </w:rPr>
              <w:t>项目</w:t>
            </w:r>
            <w:r>
              <w:rPr>
                <w:rFonts w:ascii="Times New Roman" w:hAnsi="Times New Roman"/>
                <w:color w:val="auto"/>
                <w:sz w:val="24"/>
              </w:rPr>
              <w:t>与榆林市“多规合一”符合性分析见表</w:t>
            </w:r>
            <w:r>
              <w:rPr>
                <w:rFonts w:hint="eastAsia" w:ascii="Times New Roman" w:hAnsi="Times New Roman"/>
                <w:color w:val="auto"/>
                <w:sz w:val="24"/>
              </w:rPr>
              <w:t>1-4，</w:t>
            </w:r>
            <w:r>
              <w:rPr>
                <w:rFonts w:ascii="Times New Roman" w:hAnsi="Times New Roman"/>
                <w:color w:val="auto"/>
                <w:sz w:val="24"/>
              </w:rPr>
              <w:t>“多规合一”控制线检测报告见附件</w:t>
            </w:r>
            <w:r>
              <w:rPr>
                <w:rFonts w:hint="eastAsia" w:ascii="Times New Roman" w:hAnsi="Times New Roman"/>
                <w:color w:val="auto"/>
                <w:sz w:val="24"/>
                <w:lang w:val="en-US" w:eastAsia="zh-CN"/>
              </w:rPr>
              <w:t>4</w:t>
            </w:r>
            <w:r>
              <w:rPr>
                <w:rFonts w:ascii="Times New Roman" w:hAnsi="Times New Roman"/>
                <w:color w:val="auto"/>
                <w:sz w:val="24"/>
              </w:rPr>
              <w:t>。</w:t>
            </w:r>
          </w:p>
          <w:p>
            <w:pPr>
              <w:pStyle w:val="82"/>
              <w:snapToGrid w:val="0"/>
              <w:spacing w:line="360" w:lineRule="auto"/>
              <w:ind w:firstLine="0" w:firstLineChars="0"/>
              <w:jc w:val="center"/>
              <w:rPr>
                <w:rFonts w:ascii="Times New Roman" w:hAnsi="Times New Roman" w:eastAsia="黑体"/>
                <w:color w:val="auto"/>
              </w:rPr>
            </w:pPr>
            <w:r>
              <w:rPr>
                <w:rFonts w:ascii="Times New Roman" w:hAnsi="Times New Roman" w:eastAsia="黑体"/>
                <w:color w:val="auto"/>
              </w:rPr>
              <w:t>表</w:t>
            </w:r>
            <w:r>
              <w:rPr>
                <w:rFonts w:hint="eastAsia" w:ascii="Times New Roman" w:hAnsi="Times New Roman" w:eastAsia="黑体"/>
                <w:color w:val="auto"/>
              </w:rPr>
              <w:t>1-4</w:t>
            </w:r>
            <w:r>
              <w:rPr>
                <w:rFonts w:ascii="Times New Roman" w:hAnsi="Times New Roman" w:eastAsia="黑体"/>
                <w:color w:val="auto"/>
              </w:rPr>
              <w:t xml:space="preserve">  </w:t>
            </w:r>
            <w:r>
              <w:rPr>
                <w:rFonts w:hint="eastAsia" w:ascii="Times New Roman" w:hAnsi="Times New Roman" w:eastAsia="黑体"/>
                <w:color w:val="auto"/>
              </w:rPr>
              <w:t>项目</w:t>
            </w:r>
            <w:r>
              <w:rPr>
                <w:rFonts w:ascii="Times New Roman" w:hAnsi="Times New Roman" w:eastAsia="黑体"/>
                <w:color w:val="auto"/>
              </w:rPr>
              <w:t>与榆林市“多规合一”符合性分析</w:t>
            </w:r>
          </w:p>
          <w:tbl>
            <w:tblPr>
              <w:tblStyle w:val="34"/>
              <w:tblW w:w="754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78"/>
              <w:gridCol w:w="2324"/>
              <w:gridCol w:w="334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9" w:hRule="atLeast"/>
                <w:jc w:val="center"/>
              </w:trPr>
              <w:tc>
                <w:tcPr>
                  <w:tcW w:w="1878" w:type="dxa"/>
                  <w:vAlign w:val="center"/>
                </w:tcPr>
                <w:p>
                  <w:pPr>
                    <w:adjustRightInd w:val="0"/>
                    <w:snapToGrid w:val="0"/>
                    <w:jc w:val="center"/>
                    <w:rPr>
                      <w:color w:val="auto"/>
                      <w:szCs w:val="21"/>
                    </w:rPr>
                  </w:pPr>
                  <w:r>
                    <w:rPr>
                      <w:color w:val="auto"/>
                    </w:rPr>
                    <w:t>控制线名称</w:t>
                  </w:r>
                </w:p>
              </w:tc>
              <w:tc>
                <w:tcPr>
                  <w:tcW w:w="2324" w:type="dxa"/>
                  <w:vAlign w:val="center"/>
                </w:tcPr>
                <w:p>
                  <w:pPr>
                    <w:adjustRightInd w:val="0"/>
                    <w:snapToGrid w:val="0"/>
                    <w:jc w:val="center"/>
                    <w:rPr>
                      <w:color w:val="auto"/>
                      <w:szCs w:val="21"/>
                    </w:rPr>
                  </w:pPr>
                  <w:r>
                    <w:rPr>
                      <w:color w:val="auto"/>
                    </w:rPr>
                    <w:t>本项目《</w:t>
                  </w:r>
                  <w:r>
                    <w:rPr>
                      <w:rFonts w:hAnsi="宋体"/>
                      <w:color w:val="auto"/>
                    </w:rPr>
                    <w:t>榆林市</w:t>
                  </w:r>
                  <w:r>
                    <w:rPr>
                      <w:color w:val="auto"/>
                    </w:rPr>
                    <w:t>投资项目选址“</w:t>
                  </w:r>
                  <w:r>
                    <w:rPr>
                      <w:rFonts w:hAnsi="宋体"/>
                      <w:color w:val="auto"/>
                    </w:rPr>
                    <w:t>一张图</w:t>
                  </w:r>
                  <w:r>
                    <w:rPr>
                      <w:color w:val="auto"/>
                    </w:rPr>
                    <w:t>”</w:t>
                  </w:r>
                  <w:r>
                    <w:rPr>
                      <w:rFonts w:hAnsi="宋体"/>
                      <w:color w:val="auto"/>
                    </w:rPr>
                    <w:t>控制线检测报告》检测结果</w:t>
                  </w:r>
                </w:p>
              </w:tc>
              <w:tc>
                <w:tcPr>
                  <w:tcW w:w="3343" w:type="dxa"/>
                  <w:vAlign w:val="center"/>
                </w:tcPr>
                <w:p>
                  <w:pPr>
                    <w:adjustRightInd w:val="0"/>
                    <w:snapToGrid w:val="0"/>
                    <w:jc w:val="center"/>
                    <w:rPr>
                      <w:color w:val="auto"/>
                      <w:kern w:val="0"/>
                      <w:szCs w:val="21"/>
                    </w:rPr>
                  </w:pPr>
                  <w:r>
                    <w:rPr>
                      <w:rFonts w:hint="eastAsia"/>
                      <w:color w:val="auto"/>
                      <w:kern w:val="0"/>
                      <w:szCs w:val="21"/>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0" w:hRule="atLeast"/>
                <w:jc w:val="center"/>
              </w:trPr>
              <w:tc>
                <w:tcPr>
                  <w:tcW w:w="1878" w:type="dxa"/>
                  <w:vAlign w:val="center"/>
                </w:tcPr>
                <w:p>
                  <w:pPr>
                    <w:adjustRightInd w:val="0"/>
                    <w:snapToGrid w:val="0"/>
                    <w:jc w:val="center"/>
                    <w:rPr>
                      <w:color w:val="auto"/>
                      <w:szCs w:val="21"/>
                    </w:rPr>
                  </w:pPr>
                  <w:r>
                    <w:rPr>
                      <w:color w:val="auto"/>
                      <w:szCs w:val="21"/>
                    </w:rPr>
                    <w:t>电磁环境保护区</w:t>
                  </w:r>
                  <w:r>
                    <w:rPr>
                      <w:rFonts w:hAnsi="宋体"/>
                      <w:color w:val="auto"/>
                    </w:rPr>
                    <w:t>分析</w:t>
                  </w:r>
                </w:p>
              </w:tc>
              <w:tc>
                <w:tcPr>
                  <w:tcW w:w="2324" w:type="dxa"/>
                  <w:vAlign w:val="center"/>
                </w:tcPr>
                <w:p>
                  <w:pPr>
                    <w:adjustRightInd w:val="0"/>
                    <w:snapToGrid w:val="0"/>
                    <w:jc w:val="center"/>
                    <w:rPr>
                      <w:color w:val="auto"/>
                      <w:szCs w:val="21"/>
                    </w:rPr>
                  </w:pPr>
                  <w:r>
                    <w:rPr>
                      <w:color w:val="auto"/>
                      <w:kern w:val="0"/>
                      <w:szCs w:val="21"/>
                    </w:rPr>
                    <w:t>面积0hm</w:t>
                  </w:r>
                  <w:r>
                    <w:rPr>
                      <w:color w:val="auto"/>
                      <w:kern w:val="0"/>
                      <w:szCs w:val="21"/>
                      <w:vertAlign w:val="superscript"/>
                    </w:rPr>
                    <w:t>2</w:t>
                  </w:r>
                </w:p>
              </w:tc>
              <w:tc>
                <w:tcPr>
                  <w:tcW w:w="3343" w:type="dxa"/>
                  <w:vAlign w:val="center"/>
                </w:tcPr>
                <w:p>
                  <w:pPr>
                    <w:adjustRightInd w:val="0"/>
                    <w:snapToGrid w:val="0"/>
                    <w:jc w:val="center"/>
                    <w:rPr>
                      <w:color w:val="auto"/>
                      <w:kern w:val="0"/>
                      <w:szCs w:val="21"/>
                    </w:rPr>
                  </w:pPr>
                  <w:r>
                    <w:rPr>
                      <w:rFonts w:hint="eastAsia"/>
                      <w:color w:val="auto"/>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1878" w:type="dxa"/>
                  <w:vAlign w:val="center"/>
                </w:tcPr>
                <w:p>
                  <w:pPr>
                    <w:adjustRightInd w:val="0"/>
                    <w:snapToGrid w:val="0"/>
                    <w:jc w:val="center"/>
                    <w:rPr>
                      <w:color w:val="auto"/>
                      <w:szCs w:val="21"/>
                    </w:rPr>
                  </w:pPr>
                  <w:r>
                    <w:rPr>
                      <w:rFonts w:hint="eastAsia"/>
                      <w:color w:val="auto"/>
                      <w:szCs w:val="21"/>
                    </w:rPr>
                    <w:t>榆阳</w:t>
                  </w:r>
                  <w:r>
                    <w:rPr>
                      <w:color w:val="auto"/>
                      <w:szCs w:val="21"/>
                    </w:rPr>
                    <w:t>机场净空区域</w:t>
                  </w:r>
                  <w:r>
                    <w:rPr>
                      <w:rFonts w:hAnsi="宋体"/>
                      <w:color w:val="auto"/>
                    </w:rPr>
                    <w:t>分析</w:t>
                  </w:r>
                </w:p>
              </w:tc>
              <w:tc>
                <w:tcPr>
                  <w:tcW w:w="2324" w:type="dxa"/>
                  <w:vAlign w:val="center"/>
                </w:tcPr>
                <w:p>
                  <w:pPr>
                    <w:adjustRightInd w:val="0"/>
                    <w:snapToGrid w:val="0"/>
                    <w:jc w:val="center"/>
                    <w:rPr>
                      <w:color w:val="auto"/>
                      <w:szCs w:val="21"/>
                    </w:rPr>
                  </w:pPr>
                  <w:r>
                    <w:rPr>
                      <w:color w:val="auto"/>
                      <w:kern w:val="0"/>
                      <w:szCs w:val="21"/>
                    </w:rPr>
                    <w:t>面积0hm</w:t>
                  </w:r>
                  <w:r>
                    <w:rPr>
                      <w:color w:val="auto"/>
                      <w:kern w:val="0"/>
                      <w:szCs w:val="21"/>
                      <w:vertAlign w:val="superscript"/>
                    </w:rPr>
                    <w:t>2</w:t>
                  </w:r>
                </w:p>
              </w:tc>
              <w:tc>
                <w:tcPr>
                  <w:tcW w:w="3343" w:type="dxa"/>
                  <w:vAlign w:val="center"/>
                </w:tcPr>
                <w:p>
                  <w:pPr>
                    <w:adjustRightInd w:val="0"/>
                    <w:snapToGrid w:val="0"/>
                    <w:jc w:val="center"/>
                    <w:rPr>
                      <w:color w:val="auto"/>
                      <w:kern w:val="0"/>
                      <w:szCs w:val="21"/>
                    </w:rPr>
                  </w:pPr>
                  <w:r>
                    <w:rPr>
                      <w:rFonts w:hint="eastAsia"/>
                      <w:color w:val="auto"/>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1" w:hRule="atLeast"/>
                <w:jc w:val="center"/>
              </w:trPr>
              <w:tc>
                <w:tcPr>
                  <w:tcW w:w="1878" w:type="dxa"/>
                  <w:vAlign w:val="center"/>
                </w:tcPr>
                <w:p>
                  <w:pPr>
                    <w:adjustRightInd w:val="0"/>
                    <w:snapToGrid w:val="0"/>
                    <w:jc w:val="center"/>
                    <w:rPr>
                      <w:color w:val="auto"/>
                      <w:szCs w:val="21"/>
                    </w:rPr>
                  </w:pPr>
                  <w:r>
                    <w:rPr>
                      <w:rFonts w:hint="eastAsia" w:hAnsi="宋体"/>
                      <w:color w:val="auto"/>
                    </w:rPr>
                    <w:t>矿业权现状2022</w:t>
                  </w:r>
                  <w:r>
                    <w:rPr>
                      <w:rFonts w:hAnsi="宋体"/>
                      <w:color w:val="auto"/>
                    </w:rPr>
                    <w:t>分析</w:t>
                  </w:r>
                </w:p>
              </w:tc>
              <w:tc>
                <w:tcPr>
                  <w:tcW w:w="2324" w:type="dxa"/>
                  <w:vAlign w:val="center"/>
                </w:tcPr>
                <w:p>
                  <w:pPr>
                    <w:adjustRightInd w:val="0"/>
                    <w:snapToGrid w:val="0"/>
                    <w:jc w:val="center"/>
                    <w:rPr>
                      <w:color w:val="auto"/>
                      <w:szCs w:val="21"/>
                    </w:rPr>
                  </w:pPr>
                  <w:r>
                    <w:rPr>
                      <w:color w:val="auto"/>
                      <w:kern w:val="0"/>
                      <w:szCs w:val="21"/>
                    </w:rPr>
                    <w:t>面积0hm</w:t>
                  </w:r>
                  <w:r>
                    <w:rPr>
                      <w:color w:val="auto"/>
                      <w:kern w:val="0"/>
                      <w:szCs w:val="21"/>
                      <w:vertAlign w:val="superscript"/>
                    </w:rPr>
                    <w:t>2</w:t>
                  </w:r>
                </w:p>
              </w:tc>
              <w:tc>
                <w:tcPr>
                  <w:tcW w:w="3343" w:type="dxa"/>
                  <w:vAlign w:val="center"/>
                </w:tcPr>
                <w:p>
                  <w:pPr>
                    <w:adjustRightInd w:val="0"/>
                    <w:snapToGrid w:val="0"/>
                    <w:jc w:val="center"/>
                    <w:rPr>
                      <w:color w:val="auto"/>
                      <w:kern w:val="0"/>
                      <w:szCs w:val="21"/>
                    </w:rPr>
                  </w:pPr>
                  <w:r>
                    <w:rPr>
                      <w:rFonts w:hint="eastAsia"/>
                      <w:color w:val="auto"/>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1" w:hRule="atLeast"/>
                <w:jc w:val="center"/>
              </w:trPr>
              <w:tc>
                <w:tcPr>
                  <w:tcW w:w="1878" w:type="dxa"/>
                  <w:vAlign w:val="center"/>
                </w:tcPr>
                <w:p>
                  <w:pPr>
                    <w:adjustRightInd w:val="0"/>
                    <w:snapToGrid w:val="0"/>
                    <w:jc w:val="center"/>
                    <w:rPr>
                      <w:rFonts w:hAnsi="宋体"/>
                      <w:color w:val="auto"/>
                    </w:rPr>
                  </w:pPr>
                  <w:r>
                    <w:rPr>
                      <w:rFonts w:hint="eastAsia" w:hAnsi="宋体"/>
                      <w:color w:val="auto"/>
                    </w:rPr>
                    <w:t>林地规划分析</w:t>
                  </w:r>
                </w:p>
              </w:tc>
              <w:tc>
                <w:tcPr>
                  <w:tcW w:w="2324" w:type="dxa"/>
                  <w:vAlign w:val="center"/>
                </w:tcPr>
                <w:p>
                  <w:pPr>
                    <w:adjustRightInd w:val="0"/>
                    <w:snapToGrid w:val="0"/>
                    <w:jc w:val="center"/>
                    <w:rPr>
                      <w:color w:val="auto"/>
                      <w:szCs w:val="21"/>
                    </w:rPr>
                  </w:pPr>
                  <w:r>
                    <w:rPr>
                      <w:rFonts w:hint="eastAsia"/>
                      <w:color w:val="auto"/>
                      <w:szCs w:val="21"/>
                    </w:rPr>
                    <w:t>林地</w:t>
                  </w:r>
                  <w:r>
                    <w:rPr>
                      <w:rFonts w:hint="eastAsia"/>
                      <w:color w:val="auto"/>
                      <w:kern w:val="0"/>
                      <w:szCs w:val="21"/>
                    </w:rPr>
                    <w:t>0.203</w:t>
                  </w:r>
                  <w:r>
                    <w:rPr>
                      <w:color w:val="auto"/>
                      <w:kern w:val="0"/>
                      <w:szCs w:val="21"/>
                    </w:rPr>
                    <w:t>hm</w:t>
                  </w:r>
                  <w:r>
                    <w:rPr>
                      <w:color w:val="auto"/>
                      <w:kern w:val="0"/>
                      <w:szCs w:val="21"/>
                      <w:vertAlign w:val="superscript"/>
                    </w:rPr>
                    <w:t>2</w:t>
                  </w:r>
                  <w:r>
                    <w:rPr>
                      <w:rFonts w:hint="eastAsia"/>
                      <w:color w:val="auto"/>
                      <w:kern w:val="0"/>
                      <w:szCs w:val="21"/>
                    </w:rPr>
                    <w:t>，非</w:t>
                  </w:r>
                  <w:r>
                    <w:rPr>
                      <w:rFonts w:hint="eastAsia"/>
                      <w:color w:val="auto"/>
                      <w:szCs w:val="21"/>
                    </w:rPr>
                    <w:t>林地</w:t>
                  </w:r>
                  <w:r>
                    <w:rPr>
                      <w:rFonts w:hint="eastAsia"/>
                      <w:color w:val="auto"/>
                      <w:kern w:val="0"/>
                      <w:szCs w:val="21"/>
                    </w:rPr>
                    <w:t>0.9841</w:t>
                  </w:r>
                  <w:r>
                    <w:rPr>
                      <w:color w:val="auto"/>
                      <w:kern w:val="0"/>
                      <w:szCs w:val="21"/>
                    </w:rPr>
                    <w:t>hm</w:t>
                  </w:r>
                  <w:r>
                    <w:rPr>
                      <w:color w:val="auto"/>
                      <w:kern w:val="0"/>
                      <w:szCs w:val="21"/>
                      <w:vertAlign w:val="superscript"/>
                    </w:rPr>
                    <w:t>2</w:t>
                  </w:r>
                </w:p>
              </w:tc>
              <w:tc>
                <w:tcPr>
                  <w:tcW w:w="3343" w:type="dxa"/>
                  <w:vAlign w:val="center"/>
                </w:tcPr>
                <w:p>
                  <w:pPr>
                    <w:adjustRightInd w:val="0"/>
                    <w:snapToGrid w:val="0"/>
                    <w:jc w:val="center"/>
                    <w:rPr>
                      <w:color w:val="auto"/>
                      <w:kern w:val="0"/>
                      <w:szCs w:val="21"/>
                    </w:rPr>
                  </w:pPr>
                  <w:r>
                    <w:rPr>
                      <w:color w:val="auto"/>
                      <w:kern w:val="0"/>
                      <w:szCs w:val="21"/>
                    </w:rPr>
                    <w:t>本项目在原有厂址内进行建设不新增用地</w:t>
                  </w:r>
                  <w:r>
                    <w:rPr>
                      <w:rFonts w:hint="eastAsia"/>
                      <w:color w:val="auto"/>
                      <w:kern w:val="0"/>
                      <w:szCs w:val="21"/>
                    </w:rPr>
                    <w:t>，站场</w:t>
                  </w:r>
                  <w:r>
                    <w:rPr>
                      <w:color w:val="auto"/>
                      <w:kern w:val="0"/>
                      <w:szCs w:val="21"/>
                    </w:rPr>
                    <w:t>前期</w:t>
                  </w:r>
                  <w:r>
                    <w:rPr>
                      <w:rFonts w:hint="eastAsia"/>
                      <w:color w:val="auto"/>
                      <w:kern w:val="0"/>
                      <w:szCs w:val="21"/>
                    </w:rPr>
                    <w:t>已办理</w:t>
                  </w:r>
                  <w:r>
                    <w:rPr>
                      <w:color w:val="auto"/>
                      <w:kern w:val="0"/>
                      <w:szCs w:val="21"/>
                    </w:rPr>
                    <w:t>土地手续</w:t>
                  </w:r>
                  <w:r>
                    <w:rPr>
                      <w:rFonts w:hint="eastAsia"/>
                      <w:color w:val="auto"/>
                      <w:kern w:val="0"/>
                      <w:szCs w:val="21"/>
                    </w:rPr>
                    <w:t>，检测占用宜林荒山荒地，不占用公益林等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0" w:hRule="atLeast"/>
                <w:jc w:val="center"/>
              </w:trPr>
              <w:tc>
                <w:tcPr>
                  <w:tcW w:w="1878" w:type="dxa"/>
                  <w:vAlign w:val="center"/>
                </w:tcPr>
                <w:p>
                  <w:pPr>
                    <w:adjustRightInd w:val="0"/>
                    <w:snapToGrid w:val="0"/>
                    <w:jc w:val="center"/>
                    <w:rPr>
                      <w:color w:val="auto"/>
                      <w:szCs w:val="21"/>
                    </w:rPr>
                  </w:pPr>
                  <w:r>
                    <w:rPr>
                      <w:rFonts w:hAnsi="宋体"/>
                      <w:color w:val="auto"/>
                    </w:rPr>
                    <w:t>文物保护线分析</w:t>
                  </w:r>
                </w:p>
              </w:tc>
              <w:tc>
                <w:tcPr>
                  <w:tcW w:w="2324" w:type="dxa"/>
                  <w:vAlign w:val="center"/>
                </w:tcPr>
                <w:p>
                  <w:pPr>
                    <w:adjustRightInd w:val="0"/>
                    <w:snapToGrid w:val="0"/>
                    <w:jc w:val="center"/>
                    <w:rPr>
                      <w:color w:val="auto"/>
                      <w:szCs w:val="21"/>
                    </w:rPr>
                  </w:pPr>
                  <w:r>
                    <w:rPr>
                      <w:color w:val="auto"/>
                      <w:kern w:val="0"/>
                      <w:szCs w:val="21"/>
                    </w:rPr>
                    <w:t>面积0hm</w:t>
                  </w:r>
                  <w:r>
                    <w:rPr>
                      <w:color w:val="auto"/>
                      <w:kern w:val="0"/>
                      <w:szCs w:val="21"/>
                      <w:vertAlign w:val="superscript"/>
                    </w:rPr>
                    <w:t>2</w:t>
                  </w:r>
                </w:p>
              </w:tc>
              <w:tc>
                <w:tcPr>
                  <w:tcW w:w="3343" w:type="dxa"/>
                  <w:vAlign w:val="center"/>
                </w:tcPr>
                <w:p>
                  <w:pPr>
                    <w:adjustRightInd w:val="0"/>
                    <w:snapToGrid w:val="0"/>
                    <w:jc w:val="center"/>
                    <w:rPr>
                      <w:color w:val="auto"/>
                      <w:kern w:val="0"/>
                      <w:szCs w:val="21"/>
                    </w:rPr>
                  </w:pPr>
                  <w:r>
                    <w:rPr>
                      <w:rFonts w:hint="eastAsia"/>
                      <w:color w:val="auto"/>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0" w:hRule="atLeast"/>
                <w:jc w:val="center"/>
              </w:trPr>
              <w:tc>
                <w:tcPr>
                  <w:tcW w:w="1878" w:type="dxa"/>
                  <w:vAlign w:val="center"/>
                </w:tcPr>
                <w:p>
                  <w:pPr>
                    <w:adjustRightInd w:val="0"/>
                    <w:snapToGrid w:val="0"/>
                    <w:jc w:val="center"/>
                    <w:rPr>
                      <w:color w:val="auto"/>
                      <w:szCs w:val="21"/>
                    </w:rPr>
                  </w:pPr>
                  <w:r>
                    <w:rPr>
                      <w:rFonts w:hAnsi="宋体"/>
                      <w:color w:val="auto"/>
                    </w:rPr>
                    <w:t>生态</w:t>
                  </w:r>
                  <w:r>
                    <w:rPr>
                      <w:rFonts w:hint="eastAsia" w:hAnsi="宋体"/>
                      <w:color w:val="auto"/>
                    </w:rPr>
                    <w:t>保护</w:t>
                  </w:r>
                  <w:r>
                    <w:rPr>
                      <w:rFonts w:hAnsi="宋体"/>
                      <w:color w:val="auto"/>
                    </w:rPr>
                    <w:t>红线分析</w:t>
                  </w:r>
                </w:p>
              </w:tc>
              <w:tc>
                <w:tcPr>
                  <w:tcW w:w="2324" w:type="dxa"/>
                  <w:vAlign w:val="center"/>
                </w:tcPr>
                <w:p>
                  <w:pPr>
                    <w:adjustRightInd w:val="0"/>
                    <w:snapToGrid w:val="0"/>
                    <w:jc w:val="center"/>
                    <w:rPr>
                      <w:color w:val="auto"/>
                      <w:szCs w:val="21"/>
                    </w:rPr>
                  </w:pPr>
                  <w:r>
                    <w:rPr>
                      <w:color w:val="auto"/>
                      <w:kern w:val="0"/>
                      <w:szCs w:val="21"/>
                    </w:rPr>
                    <w:t>面积0hm</w:t>
                  </w:r>
                  <w:r>
                    <w:rPr>
                      <w:color w:val="auto"/>
                      <w:kern w:val="0"/>
                      <w:szCs w:val="21"/>
                      <w:vertAlign w:val="superscript"/>
                    </w:rPr>
                    <w:t>2</w:t>
                  </w:r>
                </w:p>
              </w:tc>
              <w:tc>
                <w:tcPr>
                  <w:tcW w:w="3343" w:type="dxa"/>
                  <w:vAlign w:val="center"/>
                </w:tcPr>
                <w:p>
                  <w:pPr>
                    <w:adjustRightInd w:val="0"/>
                    <w:snapToGrid w:val="0"/>
                    <w:jc w:val="center"/>
                    <w:rPr>
                      <w:color w:val="auto"/>
                      <w:kern w:val="0"/>
                      <w:szCs w:val="21"/>
                    </w:rPr>
                  </w:pPr>
                  <w:r>
                    <w:rPr>
                      <w:rFonts w:hint="eastAsia"/>
                      <w:color w:val="auto"/>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0" w:hRule="atLeast"/>
                <w:jc w:val="center"/>
              </w:trPr>
              <w:tc>
                <w:tcPr>
                  <w:tcW w:w="1878" w:type="dxa"/>
                  <w:vAlign w:val="center"/>
                </w:tcPr>
                <w:p>
                  <w:pPr>
                    <w:adjustRightInd w:val="0"/>
                    <w:snapToGrid w:val="0"/>
                    <w:jc w:val="center"/>
                    <w:rPr>
                      <w:color w:val="auto"/>
                      <w:szCs w:val="21"/>
                    </w:rPr>
                  </w:pPr>
                  <w:r>
                    <w:rPr>
                      <w:rFonts w:hint="eastAsia" w:hAnsi="宋体"/>
                      <w:color w:val="auto"/>
                    </w:rPr>
                    <w:t>永久</w:t>
                  </w:r>
                  <w:r>
                    <w:rPr>
                      <w:rFonts w:hAnsi="宋体"/>
                      <w:color w:val="auto"/>
                    </w:rPr>
                    <w:t>基本农田分析</w:t>
                  </w:r>
                </w:p>
              </w:tc>
              <w:tc>
                <w:tcPr>
                  <w:tcW w:w="2324" w:type="dxa"/>
                  <w:vAlign w:val="center"/>
                </w:tcPr>
                <w:p>
                  <w:pPr>
                    <w:adjustRightInd w:val="0"/>
                    <w:snapToGrid w:val="0"/>
                    <w:jc w:val="center"/>
                    <w:rPr>
                      <w:color w:val="auto"/>
                      <w:szCs w:val="21"/>
                    </w:rPr>
                  </w:pPr>
                  <w:r>
                    <w:rPr>
                      <w:color w:val="auto"/>
                      <w:kern w:val="0"/>
                      <w:szCs w:val="21"/>
                    </w:rPr>
                    <w:t>面积0hm</w:t>
                  </w:r>
                  <w:r>
                    <w:rPr>
                      <w:color w:val="auto"/>
                      <w:kern w:val="0"/>
                      <w:szCs w:val="21"/>
                      <w:vertAlign w:val="superscript"/>
                    </w:rPr>
                    <w:t>2</w:t>
                  </w:r>
                </w:p>
              </w:tc>
              <w:tc>
                <w:tcPr>
                  <w:tcW w:w="3343" w:type="dxa"/>
                  <w:vAlign w:val="center"/>
                </w:tcPr>
                <w:p>
                  <w:pPr>
                    <w:adjustRightInd w:val="0"/>
                    <w:snapToGrid w:val="0"/>
                    <w:jc w:val="center"/>
                    <w:rPr>
                      <w:color w:val="auto"/>
                      <w:kern w:val="0"/>
                      <w:szCs w:val="21"/>
                    </w:rPr>
                  </w:pPr>
                  <w:r>
                    <w:rPr>
                      <w:rFonts w:hint="eastAsia"/>
                      <w:color w:val="auto"/>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0" w:hRule="atLeast"/>
                <w:jc w:val="center"/>
              </w:trPr>
              <w:tc>
                <w:tcPr>
                  <w:tcW w:w="1878" w:type="dxa"/>
                  <w:vAlign w:val="center"/>
                </w:tcPr>
                <w:p>
                  <w:pPr>
                    <w:adjustRightInd w:val="0"/>
                    <w:snapToGrid w:val="0"/>
                    <w:jc w:val="center"/>
                    <w:rPr>
                      <w:color w:val="auto"/>
                      <w:szCs w:val="21"/>
                    </w:rPr>
                  </w:pPr>
                  <w:r>
                    <w:rPr>
                      <w:rFonts w:hAnsi="宋体"/>
                      <w:color w:val="auto"/>
                    </w:rPr>
                    <w:t>土地利用现状分析</w:t>
                  </w:r>
                </w:p>
              </w:tc>
              <w:tc>
                <w:tcPr>
                  <w:tcW w:w="2324" w:type="dxa"/>
                  <w:vAlign w:val="center"/>
                </w:tcPr>
                <w:p>
                  <w:pPr>
                    <w:adjustRightInd w:val="0"/>
                    <w:snapToGrid w:val="0"/>
                    <w:jc w:val="center"/>
                    <w:rPr>
                      <w:color w:val="auto"/>
                      <w:szCs w:val="21"/>
                    </w:rPr>
                  </w:pPr>
                  <w:r>
                    <w:rPr>
                      <w:rFonts w:hint="eastAsia"/>
                      <w:color w:val="auto"/>
                      <w:kern w:val="0"/>
                      <w:szCs w:val="21"/>
                    </w:rPr>
                    <w:t>草地0.0068</w:t>
                  </w:r>
                  <w:r>
                    <w:rPr>
                      <w:color w:val="auto"/>
                      <w:kern w:val="0"/>
                      <w:szCs w:val="21"/>
                    </w:rPr>
                    <w:t>hm</w:t>
                  </w:r>
                  <w:r>
                    <w:rPr>
                      <w:color w:val="auto"/>
                      <w:kern w:val="0"/>
                      <w:szCs w:val="21"/>
                      <w:vertAlign w:val="superscript"/>
                    </w:rPr>
                    <w:t>2</w:t>
                  </w:r>
                  <w:r>
                    <w:rPr>
                      <w:rFonts w:hint="eastAsia"/>
                      <w:color w:val="auto"/>
                      <w:kern w:val="0"/>
                      <w:szCs w:val="21"/>
                    </w:rPr>
                    <w:t>，工况用地1.1802</w:t>
                  </w:r>
                  <w:r>
                    <w:rPr>
                      <w:color w:val="auto"/>
                      <w:kern w:val="0"/>
                      <w:szCs w:val="21"/>
                    </w:rPr>
                    <w:t>hm</w:t>
                  </w:r>
                  <w:r>
                    <w:rPr>
                      <w:color w:val="auto"/>
                      <w:kern w:val="0"/>
                      <w:szCs w:val="21"/>
                      <w:vertAlign w:val="superscript"/>
                    </w:rPr>
                    <w:t>2</w:t>
                  </w:r>
                </w:p>
              </w:tc>
              <w:tc>
                <w:tcPr>
                  <w:tcW w:w="3343" w:type="dxa"/>
                  <w:vAlign w:val="center"/>
                </w:tcPr>
                <w:p>
                  <w:pPr>
                    <w:adjustRightInd w:val="0"/>
                    <w:snapToGrid w:val="0"/>
                    <w:jc w:val="center"/>
                    <w:rPr>
                      <w:color w:val="auto"/>
                      <w:kern w:val="0"/>
                      <w:szCs w:val="21"/>
                    </w:rPr>
                  </w:pPr>
                  <w:r>
                    <w:rPr>
                      <w:color w:val="auto"/>
                      <w:kern w:val="0"/>
                      <w:szCs w:val="21"/>
                    </w:rPr>
                    <w:t>本项目在原有厂址内进行建设不新增用地</w:t>
                  </w:r>
                  <w:r>
                    <w:rPr>
                      <w:rFonts w:hint="eastAsia"/>
                      <w:color w:val="auto"/>
                      <w:kern w:val="0"/>
                      <w:szCs w:val="21"/>
                    </w:rPr>
                    <w:t>，站场</w:t>
                  </w:r>
                  <w:r>
                    <w:rPr>
                      <w:color w:val="auto"/>
                      <w:kern w:val="0"/>
                      <w:szCs w:val="21"/>
                    </w:rPr>
                    <w:t>前期</w:t>
                  </w:r>
                  <w:r>
                    <w:rPr>
                      <w:rFonts w:hint="eastAsia"/>
                      <w:color w:val="auto"/>
                      <w:kern w:val="0"/>
                      <w:szCs w:val="21"/>
                    </w:rPr>
                    <w:t>已办理</w:t>
                  </w:r>
                  <w:r>
                    <w:rPr>
                      <w:color w:val="auto"/>
                      <w:kern w:val="0"/>
                      <w:szCs w:val="21"/>
                    </w:rPr>
                    <w:t>土地手续</w:t>
                  </w:r>
                  <w:r>
                    <w:rPr>
                      <w:rFonts w:hint="eastAsia"/>
                      <w:color w:val="auto"/>
                      <w:kern w:val="0"/>
                      <w:szCs w:val="21"/>
                    </w:rPr>
                    <w:t>，检测占用草地面积相对总面积较小，为坐标微小偏差</w:t>
                  </w:r>
                </w:p>
              </w:tc>
            </w:tr>
          </w:tbl>
          <w:p>
            <w:pPr>
              <w:spacing w:line="360" w:lineRule="auto"/>
              <w:ind w:firstLine="480" w:firstLineChars="200"/>
              <w:rPr>
                <w:color w:val="auto"/>
                <w:sz w:val="24"/>
              </w:rPr>
            </w:pPr>
            <w:r>
              <w:rPr>
                <w:color w:val="auto"/>
                <w:sz w:val="24"/>
              </w:rPr>
              <w:t>综述，本项目符合榆林市“多规合一”要求。</w:t>
            </w:r>
          </w:p>
          <w:p>
            <w:pPr>
              <w:spacing w:line="360" w:lineRule="auto"/>
              <w:ind w:firstLine="482" w:firstLineChars="200"/>
              <w:rPr>
                <w:b/>
                <w:bCs/>
                <w:color w:val="auto"/>
                <w:sz w:val="24"/>
              </w:rPr>
            </w:pPr>
            <w:r>
              <w:rPr>
                <w:rFonts w:hint="eastAsia"/>
                <w:b/>
                <w:bCs/>
                <w:color w:val="auto"/>
                <w:sz w:val="24"/>
              </w:rPr>
              <w:t>5</w:t>
            </w:r>
            <w:r>
              <w:rPr>
                <w:b/>
                <w:bCs/>
                <w:color w:val="auto"/>
                <w:sz w:val="24"/>
              </w:rPr>
              <w:t>、项目与</w:t>
            </w:r>
            <w:r>
              <w:rPr>
                <w:rFonts w:hint="eastAsia"/>
                <w:b/>
                <w:bCs/>
                <w:color w:val="auto"/>
                <w:sz w:val="24"/>
              </w:rPr>
              <w:t>《</w:t>
            </w:r>
            <w:r>
              <w:rPr>
                <w:b/>
                <w:bCs/>
                <w:color w:val="auto"/>
                <w:sz w:val="24"/>
              </w:rPr>
              <w:t>关于进一步加强石油天然气行业环境影响评价管理的通知</w:t>
            </w:r>
            <w:r>
              <w:rPr>
                <w:rFonts w:hint="eastAsia"/>
                <w:b/>
                <w:bCs/>
                <w:color w:val="auto"/>
                <w:sz w:val="24"/>
              </w:rPr>
              <w:t>》</w:t>
            </w:r>
            <w:r>
              <w:rPr>
                <w:b/>
                <w:bCs/>
                <w:color w:val="auto"/>
                <w:sz w:val="24"/>
              </w:rPr>
              <w:t>的符合性分析</w:t>
            </w:r>
          </w:p>
          <w:p>
            <w:pPr>
              <w:spacing w:line="360" w:lineRule="auto"/>
              <w:ind w:firstLine="480" w:firstLineChars="200"/>
              <w:rPr>
                <w:color w:val="auto"/>
                <w:sz w:val="24"/>
              </w:rPr>
            </w:pPr>
            <w:r>
              <w:rPr>
                <w:rFonts w:hint="eastAsia"/>
                <w:color w:val="auto"/>
                <w:sz w:val="24"/>
              </w:rPr>
              <w:t>项目与《关于进一步加强石油天然气行业环境影响评价管理的通知》（环办环评函[2019]910号）的符合性分析详见表1-5。</w:t>
            </w:r>
          </w:p>
          <w:p>
            <w:pPr>
              <w:pStyle w:val="82"/>
              <w:snapToGrid w:val="0"/>
              <w:spacing w:line="360" w:lineRule="auto"/>
              <w:ind w:firstLine="0" w:firstLineChars="0"/>
              <w:jc w:val="center"/>
              <w:rPr>
                <w:rFonts w:ascii="Times New Roman" w:hAnsi="Times New Roman" w:eastAsia="黑体"/>
                <w:color w:val="auto"/>
              </w:rPr>
            </w:pPr>
            <w:r>
              <w:rPr>
                <w:rFonts w:ascii="Times New Roman" w:hAnsi="Times New Roman" w:eastAsia="黑体"/>
                <w:color w:val="auto"/>
              </w:rPr>
              <w:t>表</w:t>
            </w:r>
            <w:r>
              <w:rPr>
                <w:rFonts w:hint="eastAsia" w:ascii="Times New Roman" w:hAnsi="Times New Roman" w:eastAsia="黑体"/>
                <w:color w:val="auto"/>
              </w:rPr>
              <w:t xml:space="preserve">1-5 </w:t>
            </w:r>
            <w:r>
              <w:rPr>
                <w:rFonts w:ascii="Times New Roman" w:hAnsi="Times New Roman" w:eastAsia="黑体"/>
                <w:color w:val="auto"/>
              </w:rPr>
              <w:t xml:space="preserve"> 项目与</w:t>
            </w:r>
            <w:r>
              <w:rPr>
                <w:rFonts w:hint="eastAsia" w:ascii="Times New Roman" w:hAnsi="Times New Roman" w:eastAsia="黑体"/>
                <w:color w:val="auto"/>
              </w:rPr>
              <w:t>《</w:t>
            </w:r>
            <w:r>
              <w:rPr>
                <w:rFonts w:ascii="Times New Roman" w:hAnsi="Times New Roman" w:eastAsia="黑体"/>
                <w:color w:val="auto"/>
              </w:rPr>
              <w:t>关于进一步加强石油天然气行业环境影响评价管理的通知</w:t>
            </w:r>
            <w:r>
              <w:rPr>
                <w:rFonts w:hint="eastAsia" w:ascii="Times New Roman" w:hAnsi="Times New Roman" w:eastAsia="黑体"/>
                <w:color w:val="auto"/>
              </w:rPr>
              <w:t>》</w:t>
            </w:r>
            <w:r>
              <w:rPr>
                <w:rFonts w:ascii="Times New Roman" w:hAnsi="Times New Roman" w:eastAsia="黑体"/>
                <w:color w:val="auto"/>
              </w:rPr>
              <w:t>的符合性分析表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893"/>
              <w:gridCol w:w="1990"/>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序号</w:t>
                  </w:r>
                </w:p>
              </w:tc>
              <w:tc>
                <w:tcPr>
                  <w:tcW w:w="3893" w:type="dxa"/>
                  <w:vAlign w:val="center"/>
                </w:tcPr>
                <w:p>
                  <w:pPr>
                    <w:adjustRightInd w:val="0"/>
                    <w:snapToGrid w:val="0"/>
                    <w:jc w:val="center"/>
                    <w:rPr>
                      <w:color w:val="auto"/>
                      <w:kern w:val="0"/>
                      <w:szCs w:val="21"/>
                    </w:rPr>
                  </w:pPr>
                  <w:r>
                    <w:rPr>
                      <w:rFonts w:hint="eastAsia"/>
                      <w:color w:val="auto"/>
                      <w:kern w:val="0"/>
                      <w:szCs w:val="21"/>
                    </w:rPr>
                    <w:t>文件要求</w:t>
                  </w:r>
                </w:p>
              </w:tc>
              <w:tc>
                <w:tcPr>
                  <w:tcW w:w="1990" w:type="dxa"/>
                  <w:vAlign w:val="center"/>
                </w:tcPr>
                <w:p>
                  <w:pPr>
                    <w:adjustRightInd w:val="0"/>
                    <w:snapToGrid w:val="0"/>
                    <w:jc w:val="center"/>
                    <w:rPr>
                      <w:color w:val="auto"/>
                      <w:kern w:val="0"/>
                      <w:szCs w:val="21"/>
                    </w:rPr>
                  </w:pPr>
                  <w:r>
                    <w:rPr>
                      <w:rFonts w:hint="eastAsia"/>
                      <w:color w:val="auto"/>
                      <w:kern w:val="0"/>
                      <w:szCs w:val="21"/>
                    </w:rPr>
                    <w:t>本项目情况</w:t>
                  </w:r>
                </w:p>
              </w:tc>
              <w:tc>
                <w:tcPr>
                  <w:tcW w:w="955" w:type="dxa"/>
                  <w:vAlign w:val="center"/>
                </w:tcPr>
                <w:p>
                  <w:pPr>
                    <w:adjustRightInd w:val="0"/>
                    <w:snapToGrid w:val="0"/>
                    <w:jc w:val="center"/>
                    <w:rPr>
                      <w:color w:val="auto"/>
                      <w:kern w:val="0"/>
                      <w:szCs w:val="21"/>
                    </w:rPr>
                  </w:pPr>
                  <w:r>
                    <w:rPr>
                      <w:rFonts w:hint="eastAsia"/>
                      <w:color w:val="auto"/>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1</w:t>
                  </w:r>
                </w:p>
              </w:tc>
              <w:tc>
                <w:tcPr>
                  <w:tcW w:w="3893" w:type="dxa"/>
                  <w:vAlign w:val="center"/>
                </w:tcPr>
                <w:p>
                  <w:pPr>
                    <w:adjustRightInd w:val="0"/>
                    <w:snapToGrid w:val="0"/>
                    <w:jc w:val="center"/>
                    <w:rPr>
                      <w:color w:val="auto"/>
                      <w:kern w:val="0"/>
                      <w:szCs w:val="21"/>
                    </w:rPr>
                  </w:pPr>
                  <w:r>
                    <w:rPr>
                      <w:rFonts w:hint="eastAsia"/>
                      <w:color w:val="auto"/>
                      <w:kern w:val="0"/>
                      <w:szCs w:val="21"/>
                    </w:rPr>
                    <w:t>（八）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相关部门及油气企业应当加强采出水等污水回注的研究，重点关注回注井井位合理性、过程控制有效性、风险防控系统性等，提出从源头到末端的全过程生态环境保护及风险防控措施、监控要求。</w:t>
                  </w:r>
                </w:p>
              </w:tc>
              <w:tc>
                <w:tcPr>
                  <w:tcW w:w="1990" w:type="dxa"/>
                  <w:vAlign w:val="center"/>
                </w:tcPr>
                <w:p>
                  <w:pPr>
                    <w:adjustRightInd w:val="0"/>
                    <w:snapToGrid w:val="0"/>
                    <w:jc w:val="center"/>
                    <w:rPr>
                      <w:color w:val="auto"/>
                      <w:kern w:val="0"/>
                      <w:szCs w:val="21"/>
                    </w:rPr>
                  </w:pPr>
                  <w:r>
                    <w:rPr>
                      <w:rFonts w:hint="eastAsia"/>
                      <w:color w:val="auto"/>
                      <w:kern w:val="0"/>
                      <w:szCs w:val="21"/>
                    </w:rPr>
                    <w:t>本项目采取了分区防渗，不回注与油气开采无关的废水，开采废水经处理并符合《碎屑岩油藏注水水质指标技术要求及分析方法》（SY/T5329-2022）等相关标准要求后回注。</w:t>
                  </w:r>
                  <w:r>
                    <w:rPr>
                      <w:rFonts w:hint="eastAsia"/>
                      <w:color w:val="auto"/>
                      <w:kern w:val="0"/>
                      <w:szCs w:val="21"/>
                    </w:rPr>
                    <w:t>环评要求处理后水同层回注。</w:t>
                  </w:r>
                </w:p>
              </w:tc>
              <w:tc>
                <w:tcPr>
                  <w:tcW w:w="955" w:type="dxa"/>
                  <w:vAlign w:val="center"/>
                </w:tcPr>
                <w:p>
                  <w:pPr>
                    <w:adjustRightInd w:val="0"/>
                    <w:snapToGrid w:val="0"/>
                    <w:jc w:val="center"/>
                    <w:rPr>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2</w:t>
                  </w:r>
                </w:p>
              </w:tc>
              <w:tc>
                <w:tcPr>
                  <w:tcW w:w="3893" w:type="dxa"/>
                  <w:vAlign w:val="center"/>
                </w:tcPr>
                <w:p>
                  <w:pPr>
                    <w:adjustRightInd w:val="0"/>
                    <w:snapToGrid w:val="0"/>
                    <w:jc w:val="center"/>
                    <w:rPr>
                      <w:color w:val="auto"/>
                      <w:kern w:val="0"/>
                      <w:szCs w:val="21"/>
                    </w:rPr>
                  </w:pPr>
                  <w:r>
                    <w:rPr>
                      <w:rFonts w:hint="eastAsia"/>
                      <w:color w:val="auto"/>
                      <w:kern w:val="0"/>
                      <w:szCs w:val="21"/>
                    </w:rPr>
                    <w:t>（九）油气开采产生的废弃油基泥浆、含油钻屑及其他固体废物，应当遵循减量化、资源化、无害化原则，按照国家和地方有关固体废物的管理规定进行处置。</w:t>
                  </w:r>
                </w:p>
              </w:tc>
              <w:tc>
                <w:tcPr>
                  <w:tcW w:w="1990" w:type="dxa"/>
                  <w:vAlign w:val="center"/>
                </w:tcPr>
                <w:p>
                  <w:pPr>
                    <w:adjustRightInd w:val="0"/>
                    <w:snapToGrid w:val="0"/>
                    <w:jc w:val="center"/>
                    <w:rPr>
                      <w:color w:val="auto"/>
                      <w:kern w:val="0"/>
                      <w:szCs w:val="21"/>
                    </w:rPr>
                  </w:pPr>
                  <w:r>
                    <w:rPr>
                      <w:rFonts w:hint="eastAsia"/>
                      <w:color w:val="auto"/>
                      <w:kern w:val="0"/>
                      <w:szCs w:val="21"/>
                    </w:rPr>
                    <w:t>本项目运行过程产生的含油污泥进入污水污泥罐暂存，定期委托有资质单位外运处置；过滤的废滤料由厂家更换回收后委托有资质单位处置</w:t>
                  </w:r>
                </w:p>
              </w:tc>
              <w:tc>
                <w:tcPr>
                  <w:tcW w:w="955" w:type="dxa"/>
                  <w:vAlign w:val="center"/>
                </w:tcPr>
                <w:p>
                  <w:pPr>
                    <w:adjustRightInd w:val="0"/>
                    <w:snapToGrid w:val="0"/>
                    <w:jc w:val="center"/>
                    <w:rPr>
                      <w:color w:val="auto"/>
                      <w:kern w:val="0"/>
                      <w:szCs w:val="21"/>
                    </w:rPr>
                  </w:pPr>
                  <w:r>
                    <w:rPr>
                      <w:rFonts w:hint="eastAsia"/>
                      <w:color w:val="auto"/>
                      <w:kern w:val="0"/>
                      <w:szCs w:val="21"/>
                    </w:rPr>
                    <w:t>符合</w:t>
                  </w:r>
                </w:p>
              </w:tc>
            </w:tr>
          </w:tbl>
          <w:p>
            <w:pPr>
              <w:spacing w:line="360" w:lineRule="auto"/>
              <w:ind w:firstLine="482" w:firstLineChars="200"/>
              <w:rPr>
                <w:b/>
                <w:bCs/>
                <w:color w:val="auto"/>
                <w:sz w:val="24"/>
              </w:rPr>
            </w:pPr>
            <w:r>
              <w:rPr>
                <w:rFonts w:hint="eastAsia"/>
                <w:b/>
                <w:bCs/>
                <w:color w:val="auto"/>
                <w:sz w:val="24"/>
              </w:rPr>
              <w:t>6、项目与陕西省生态环境厅《关于印发石油天然气开采等四个行业建设项目环境影响评价文件审批要点（试行）的通知》符合性分析</w:t>
            </w:r>
          </w:p>
          <w:p>
            <w:pPr>
              <w:spacing w:line="360" w:lineRule="auto"/>
              <w:ind w:firstLine="480" w:firstLineChars="200"/>
              <w:rPr>
                <w:color w:val="auto"/>
                <w:sz w:val="24"/>
              </w:rPr>
            </w:pPr>
            <w:r>
              <w:rPr>
                <w:rFonts w:hint="eastAsia"/>
                <w:color w:val="auto"/>
                <w:sz w:val="24"/>
              </w:rPr>
              <w:t>项目与陕西省生态环境厅《关于印发石油天然气开采等四个行业建设项目环境影响评价文件审批要点（试行）的通知》（陕环办发〔2020〕34号）的符合性见表1-6。</w:t>
            </w:r>
          </w:p>
          <w:p>
            <w:pPr>
              <w:pStyle w:val="82"/>
              <w:snapToGrid w:val="0"/>
              <w:spacing w:line="360" w:lineRule="auto"/>
              <w:ind w:firstLine="0" w:firstLineChars="0"/>
              <w:jc w:val="center"/>
              <w:rPr>
                <w:rFonts w:ascii="Times New Roman" w:hAnsi="Times New Roman" w:eastAsia="黑体"/>
                <w:color w:val="auto"/>
              </w:rPr>
            </w:pPr>
            <w:r>
              <w:rPr>
                <w:rFonts w:hint="eastAsia" w:ascii="Times New Roman" w:hAnsi="Times New Roman" w:eastAsia="黑体"/>
                <w:color w:val="auto"/>
              </w:rPr>
              <w:t xml:space="preserve">表1-6  </w:t>
            </w:r>
            <w:r>
              <w:rPr>
                <w:rFonts w:ascii="Times New Roman" w:hAnsi="Times New Roman" w:eastAsia="黑体"/>
                <w:color w:val="auto"/>
              </w:rPr>
              <w:t>项目与</w:t>
            </w:r>
            <w:r>
              <w:rPr>
                <w:rFonts w:hint="eastAsia" w:ascii="Times New Roman" w:hAnsi="Times New Roman" w:eastAsia="黑体"/>
                <w:color w:val="auto"/>
              </w:rPr>
              <w:t>《</w:t>
            </w:r>
            <w:r>
              <w:rPr>
                <w:rFonts w:ascii="Times New Roman" w:hAnsi="Times New Roman" w:eastAsia="黑体"/>
                <w:color w:val="auto"/>
              </w:rPr>
              <w:t>关于印发石油天然气开采等四个行业建设项目环境影响评价文件审批要点（试行）的通知</w:t>
            </w:r>
            <w:r>
              <w:rPr>
                <w:rFonts w:hint="eastAsia" w:ascii="Times New Roman" w:hAnsi="Times New Roman" w:eastAsia="黑体"/>
                <w:color w:val="auto"/>
              </w:rPr>
              <w:t>》</w:t>
            </w:r>
            <w:r>
              <w:rPr>
                <w:rFonts w:ascii="Times New Roman" w:hAnsi="Times New Roman" w:eastAsia="黑体"/>
                <w:color w:val="auto"/>
              </w:rPr>
              <w:t>的符合性分析</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95"/>
              <w:gridCol w:w="3088"/>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序号</w:t>
                  </w:r>
                </w:p>
              </w:tc>
              <w:tc>
                <w:tcPr>
                  <w:tcW w:w="2795" w:type="dxa"/>
                  <w:vAlign w:val="center"/>
                </w:tcPr>
                <w:p>
                  <w:pPr>
                    <w:adjustRightInd w:val="0"/>
                    <w:snapToGrid w:val="0"/>
                    <w:jc w:val="center"/>
                    <w:rPr>
                      <w:color w:val="auto"/>
                      <w:kern w:val="0"/>
                      <w:szCs w:val="21"/>
                    </w:rPr>
                  </w:pPr>
                  <w:r>
                    <w:rPr>
                      <w:rFonts w:hint="eastAsia"/>
                      <w:color w:val="auto"/>
                      <w:kern w:val="0"/>
                      <w:szCs w:val="21"/>
                    </w:rPr>
                    <w:t>文件要求</w:t>
                  </w:r>
                </w:p>
              </w:tc>
              <w:tc>
                <w:tcPr>
                  <w:tcW w:w="3088" w:type="dxa"/>
                  <w:vAlign w:val="center"/>
                </w:tcPr>
                <w:p>
                  <w:pPr>
                    <w:adjustRightInd w:val="0"/>
                    <w:snapToGrid w:val="0"/>
                    <w:jc w:val="center"/>
                    <w:rPr>
                      <w:color w:val="auto"/>
                      <w:kern w:val="0"/>
                      <w:szCs w:val="21"/>
                    </w:rPr>
                  </w:pPr>
                  <w:r>
                    <w:rPr>
                      <w:rFonts w:hint="eastAsia"/>
                      <w:color w:val="auto"/>
                      <w:kern w:val="0"/>
                      <w:szCs w:val="21"/>
                    </w:rPr>
                    <w:t>本项目情况</w:t>
                  </w:r>
                </w:p>
              </w:tc>
              <w:tc>
                <w:tcPr>
                  <w:tcW w:w="955" w:type="dxa"/>
                  <w:vAlign w:val="center"/>
                </w:tcPr>
                <w:p>
                  <w:pPr>
                    <w:adjustRightInd w:val="0"/>
                    <w:snapToGrid w:val="0"/>
                    <w:jc w:val="center"/>
                    <w:rPr>
                      <w:color w:val="auto"/>
                      <w:kern w:val="0"/>
                      <w:szCs w:val="21"/>
                    </w:rPr>
                  </w:pPr>
                  <w:r>
                    <w:rPr>
                      <w:rFonts w:hint="eastAsia"/>
                      <w:color w:val="auto"/>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1</w:t>
                  </w:r>
                </w:p>
              </w:tc>
              <w:tc>
                <w:tcPr>
                  <w:tcW w:w="2795" w:type="dxa"/>
                  <w:vAlign w:val="center"/>
                </w:tcPr>
                <w:p>
                  <w:pPr>
                    <w:adjustRightInd w:val="0"/>
                    <w:snapToGrid w:val="0"/>
                    <w:jc w:val="center"/>
                    <w:rPr>
                      <w:color w:val="auto"/>
                      <w:kern w:val="0"/>
                      <w:szCs w:val="21"/>
                      <w:lang w:val="zh-CN"/>
                    </w:rPr>
                  </w:pPr>
                  <w:r>
                    <w:rPr>
                      <w:rFonts w:hint="eastAsia"/>
                      <w:color w:val="auto"/>
                      <w:kern w:val="0"/>
                      <w:szCs w:val="21"/>
                    </w:rPr>
                    <w:t>项目应符合生态环境保护相关法律法规和政策，符合“三线一单”要求，并与环境功能区划、生态环境保护规划等规划相协调</w:t>
                  </w:r>
                </w:p>
              </w:tc>
              <w:tc>
                <w:tcPr>
                  <w:tcW w:w="3088" w:type="dxa"/>
                  <w:vAlign w:val="center"/>
                </w:tcPr>
                <w:p>
                  <w:pPr>
                    <w:adjustRightInd w:val="0"/>
                    <w:snapToGrid w:val="0"/>
                    <w:jc w:val="center"/>
                    <w:rPr>
                      <w:color w:val="auto"/>
                      <w:kern w:val="0"/>
                      <w:szCs w:val="21"/>
                    </w:rPr>
                  </w:pPr>
                  <w:r>
                    <w:rPr>
                      <w:rFonts w:hint="eastAsia"/>
                      <w:color w:val="auto"/>
                      <w:kern w:val="0"/>
                      <w:szCs w:val="21"/>
                    </w:rPr>
                    <w:t>根据《榆林市投资项目选址“一张图”控制线检测报告》检测结果，本项目占地不涉及生态保护红线，符合“三线一单”要求。</w:t>
                  </w:r>
                </w:p>
              </w:tc>
              <w:tc>
                <w:tcPr>
                  <w:tcW w:w="955" w:type="dxa"/>
                  <w:vAlign w:val="center"/>
                </w:tcPr>
                <w:p>
                  <w:pPr>
                    <w:adjustRightInd w:val="0"/>
                    <w:snapToGrid w:val="0"/>
                    <w:jc w:val="center"/>
                    <w:rPr>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2</w:t>
                  </w:r>
                </w:p>
              </w:tc>
              <w:tc>
                <w:tcPr>
                  <w:tcW w:w="2795" w:type="dxa"/>
                  <w:vAlign w:val="center"/>
                </w:tcPr>
                <w:p>
                  <w:pPr>
                    <w:adjustRightInd w:val="0"/>
                    <w:snapToGrid w:val="0"/>
                    <w:jc w:val="center"/>
                    <w:rPr>
                      <w:color w:val="auto"/>
                      <w:kern w:val="0"/>
                      <w:szCs w:val="21"/>
                      <w:lang w:val="zh-CN"/>
                    </w:rPr>
                  </w:pPr>
                  <w:r>
                    <w:rPr>
                      <w:rFonts w:hint="eastAsia"/>
                      <w:color w:val="auto"/>
                      <w:kern w:val="0"/>
                      <w:szCs w:val="21"/>
                    </w:rPr>
                    <w:t>第三条：项目选址应符合区域油气开采总体规划、规划环评及其审查意见等相关要求。禁止在居民区和国务院或者省人民政府划定的重要水源涵养区、饮用水水源保护区，国家公园，自然保护区，风景名胜区、森林公园、地质公园、湿地公园等自然公园、文物保护单位等区域内进行石油、天然气开发</w:t>
                  </w:r>
                </w:p>
              </w:tc>
              <w:tc>
                <w:tcPr>
                  <w:tcW w:w="3088" w:type="dxa"/>
                  <w:vAlign w:val="center"/>
                </w:tcPr>
                <w:p>
                  <w:pPr>
                    <w:adjustRightInd w:val="0"/>
                    <w:snapToGrid w:val="0"/>
                    <w:jc w:val="center"/>
                    <w:rPr>
                      <w:color w:val="auto"/>
                      <w:kern w:val="0"/>
                      <w:szCs w:val="21"/>
                    </w:rPr>
                  </w:pPr>
                  <w:r>
                    <w:rPr>
                      <w:rFonts w:hint="eastAsia"/>
                      <w:color w:val="auto"/>
                      <w:kern w:val="0"/>
                      <w:szCs w:val="21"/>
                    </w:rPr>
                    <w:t>本项目在定边采油厂现有站场内建设，不新增占地，符合定边采油厂油气产能环评及其审查意见等相关要求，项目不涉及居民区和国务院或者省人民政府划定的重要水源涵养区、饮用水水源保护区，国家公园，自然保护区，风景名胜区、森林公园、地质公园、湿地公园等自然公园、文物保护单位等区域</w:t>
                  </w:r>
                </w:p>
              </w:tc>
              <w:tc>
                <w:tcPr>
                  <w:tcW w:w="955" w:type="dxa"/>
                  <w:vAlign w:val="center"/>
                </w:tcPr>
                <w:p>
                  <w:pPr>
                    <w:adjustRightInd w:val="0"/>
                    <w:snapToGrid w:val="0"/>
                    <w:jc w:val="center"/>
                    <w:rPr>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3</w:t>
                  </w:r>
                </w:p>
              </w:tc>
              <w:tc>
                <w:tcPr>
                  <w:tcW w:w="2795" w:type="dxa"/>
                  <w:vAlign w:val="center"/>
                </w:tcPr>
                <w:p>
                  <w:pPr>
                    <w:adjustRightInd w:val="0"/>
                    <w:snapToGrid w:val="0"/>
                    <w:jc w:val="center"/>
                    <w:rPr>
                      <w:color w:val="auto"/>
                      <w:kern w:val="0"/>
                      <w:szCs w:val="21"/>
                      <w:lang w:val="zh-CN"/>
                    </w:rPr>
                  </w:pPr>
                  <w:r>
                    <w:rPr>
                      <w:rFonts w:hint="eastAsia"/>
                      <w:color w:val="auto"/>
                      <w:kern w:val="0"/>
                      <w:szCs w:val="21"/>
                    </w:rPr>
                    <w:t>第五条：涉及废水回注的油气开采项目，应当论证回注的环境可行性，不得回注与油气开采无关的废水</w:t>
                  </w:r>
                </w:p>
              </w:tc>
              <w:tc>
                <w:tcPr>
                  <w:tcW w:w="3088" w:type="dxa"/>
                  <w:vAlign w:val="center"/>
                </w:tcPr>
                <w:p>
                  <w:pPr>
                    <w:adjustRightInd w:val="0"/>
                    <w:snapToGrid w:val="0"/>
                    <w:jc w:val="center"/>
                    <w:rPr>
                      <w:color w:val="auto"/>
                      <w:kern w:val="0"/>
                      <w:szCs w:val="21"/>
                      <w:lang w:val="zh-CN"/>
                    </w:rPr>
                  </w:pPr>
                  <w:r>
                    <w:rPr>
                      <w:rFonts w:hint="eastAsia"/>
                      <w:color w:val="auto"/>
                      <w:kern w:val="0"/>
                      <w:szCs w:val="21"/>
                    </w:rPr>
                    <w:t>本项目不回注与油气开采无关的废水，处理后的水质达到《碎屑岩油藏注水水质指标技术要求及分析方法》（SY/T5329-2022）标准后同层回注</w:t>
                  </w:r>
                </w:p>
              </w:tc>
              <w:tc>
                <w:tcPr>
                  <w:tcW w:w="955" w:type="dxa"/>
                  <w:vAlign w:val="center"/>
                </w:tcPr>
                <w:p>
                  <w:pPr>
                    <w:adjustRightInd w:val="0"/>
                    <w:snapToGrid w:val="0"/>
                    <w:jc w:val="center"/>
                    <w:rPr>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4</w:t>
                  </w:r>
                </w:p>
              </w:tc>
              <w:tc>
                <w:tcPr>
                  <w:tcW w:w="2795" w:type="dxa"/>
                  <w:vAlign w:val="center"/>
                </w:tcPr>
                <w:p>
                  <w:pPr>
                    <w:adjustRightInd w:val="0"/>
                    <w:snapToGrid w:val="0"/>
                    <w:jc w:val="center"/>
                    <w:rPr>
                      <w:color w:val="auto"/>
                      <w:kern w:val="0"/>
                      <w:szCs w:val="21"/>
                      <w:lang w:val="zh-CN"/>
                    </w:rPr>
                  </w:pPr>
                  <w:r>
                    <w:rPr>
                      <w:rFonts w:hint="eastAsia"/>
                      <w:color w:val="auto"/>
                      <w:kern w:val="0"/>
                      <w:szCs w:val="21"/>
                    </w:rPr>
                    <w:t>第六条：油气开采产生的废弃油基泥浆、含油钻屑及其他固体废物，应当遵循减量化、资源化、无害化原则，按照国家和地方有关固体废物的管理规定进行处置</w:t>
                  </w:r>
                </w:p>
              </w:tc>
              <w:tc>
                <w:tcPr>
                  <w:tcW w:w="3088" w:type="dxa"/>
                  <w:vAlign w:val="center"/>
                </w:tcPr>
                <w:p>
                  <w:pPr>
                    <w:adjustRightInd w:val="0"/>
                    <w:snapToGrid w:val="0"/>
                    <w:jc w:val="center"/>
                    <w:rPr>
                      <w:color w:val="auto"/>
                      <w:kern w:val="0"/>
                      <w:szCs w:val="21"/>
                      <w:lang w:val="zh-CN"/>
                    </w:rPr>
                  </w:pPr>
                  <w:r>
                    <w:rPr>
                      <w:rFonts w:hint="eastAsia"/>
                      <w:color w:val="auto"/>
                      <w:kern w:val="0"/>
                      <w:szCs w:val="21"/>
                    </w:rPr>
                    <w:t>本项目运行过程产生的含油污泥暂存在</w:t>
                  </w:r>
                  <w:r>
                    <w:rPr>
                      <w:rFonts w:hint="eastAsia"/>
                      <w:color w:val="auto"/>
                      <w:kern w:val="0"/>
                      <w:szCs w:val="21"/>
                    </w:rPr>
                    <w:t>污水污泥罐</w:t>
                  </w:r>
                  <w:r>
                    <w:rPr>
                      <w:rFonts w:hint="eastAsia"/>
                      <w:color w:val="auto"/>
                      <w:kern w:val="0"/>
                      <w:szCs w:val="21"/>
                    </w:rPr>
                    <w:t>，定期委托有资质单位处置；过滤的废滤料由厂家更换回收后委托有资质单位处置</w:t>
                  </w:r>
                </w:p>
              </w:tc>
              <w:tc>
                <w:tcPr>
                  <w:tcW w:w="955" w:type="dxa"/>
                  <w:vAlign w:val="center"/>
                </w:tcPr>
                <w:p>
                  <w:pPr>
                    <w:adjustRightInd w:val="0"/>
                    <w:snapToGrid w:val="0"/>
                    <w:jc w:val="center"/>
                    <w:rPr>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5</w:t>
                  </w:r>
                </w:p>
              </w:tc>
              <w:tc>
                <w:tcPr>
                  <w:tcW w:w="2795" w:type="dxa"/>
                  <w:vAlign w:val="center"/>
                </w:tcPr>
                <w:p>
                  <w:pPr>
                    <w:adjustRightInd w:val="0"/>
                    <w:snapToGrid w:val="0"/>
                    <w:jc w:val="center"/>
                    <w:rPr>
                      <w:color w:val="auto"/>
                      <w:kern w:val="0"/>
                      <w:szCs w:val="21"/>
                      <w:lang w:val="zh-CN"/>
                    </w:rPr>
                  </w:pPr>
                  <w:r>
                    <w:rPr>
                      <w:rFonts w:hint="eastAsia"/>
                      <w:color w:val="auto"/>
                      <w:kern w:val="0"/>
                      <w:szCs w:val="21"/>
                    </w:rPr>
                    <w:t>第八条：油气开采企业应对地下水、生态、土壤等开展长期跟踪监测</w:t>
                  </w:r>
                </w:p>
              </w:tc>
              <w:tc>
                <w:tcPr>
                  <w:tcW w:w="3088" w:type="dxa"/>
                  <w:vAlign w:val="center"/>
                </w:tcPr>
                <w:p>
                  <w:pPr>
                    <w:adjustRightInd w:val="0"/>
                    <w:snapToGrid w:val="0"/>
                    <w:jc w:val="center"/>
                    <w:rPr>
                      <w:color w:val="auto"/>
                      <w:kern w:val="0"/>
                      <w:szCs w:val="21"/>
                    </w:rPr>
                  </w:pPr>
                  <w:r>
                    <w:rPr>
                      <w:rFonts w:hint="eastAsia"/>
                      <w:color w:val="auto"/>
                      <w:kern w:val="0"/>
                      <w:szCs w:val="21"/>
                    </w:rPr>
                    <w:t>延长油田股份有限公司定边采油厂后续应将本项目纳入油田整体土壤和地下水跟踪监测计划中</w:t>
                  </w:r>
                </w:p>
              </w:tc>
              <w:tc>
                <w:tcPr>
                  <w:tcW w:w="955" w:type="dxa"/>
                  <w:vAlign w:val="center"/>
                </w:tcPr>
                <w:p>
                  <w:pPr>
                    <w:adjustRightInd w:val="0"/>
                    <w:snapToGrid w:val="0"/>
                    <w:jc w:val="center"/>
                    <w:rPr>
                      <w:color w:val="auto"/>
                      <w:kern w:val="0"/>
                      <w:szCs w:val="21"/>
                    </w:rPr>
                  </w:pPr>
                  <w:r>
                    <w:rPr>
                      <w:rFonts w:hint="eastAsia"/>
                      <w:color w:val="auto"/>
                      <w:kern w:val="0"/>
                      <w:szCs w:val="21"/>
                    </w:rPr>
                    <w:t>符合</w:t>
                  </w:r>
                </w:p>
              </w:tc>
            </w:tr>
          </w:tbl>
          <w:p>
            <w:pPr>
              <w:spacing w:line="360" w:lineRule="auto"/>
              <w:ind w:firstLine="482" w:firstLineChars="200"/>
              <w:rPr>
                <w:b/>
                <w:bCs/>
                <w:color w:val="auto"/>
                <w:sz w:val="24"/>
              </w:rPr>
            </w:pPr>
            <w:r>
              <w:rPr>
                <w:rFonts w:hint="eastAsia"/>
                <w:b/>
                <w:bCs/>
                <w:color w:val="auto"/>
                <w:sz w:val="24"/>
              </w:rPr>
              <w:t>7、项目与</w:t>
            </w:r>
            <w:r>
              <w:rPr>
                <w:b/>
                <w:bCs/>
                <w:color w:val="auto"/>
                <w:sz w:val="24"/>
              </w:rPr>
              <w:t>《陕西省煤炭石油天然气开发生态环境保护条例》（2019年修订）</w:t>
            </w:r>
            <w:r>
              <w:rPr>
                <w:rFonts w:hint="eastAsia"/>
                <w:b/>
                <w:bCs/>
                <w:color w:val="auto"/>
                <w:sz w:val="24"/>
              </w:rPr>
              <w:t>的符合性分析</w:t>
            </w:r>
          </w:p>
          <w:p>
            <w:pPr>
              <w:spacing w:line="360" w:lineRule="auto"/>
              <w:ind w:firstLine="480" w:firstLineChars="200"/>
              <w:rPr>
                <w:color w:val="auto"/>
                <w:sz w:val="24"/>
              </w:rPr>
            </w:pPr>
            <w:r>
              <w:rPr>
                <w:rFonts w:hint="eastAsia"/>
                <w:color w:val="auto"/>
                <w:sz w:val="24"/>
              </w:rPr>
              <w:t>项目与</w:t>
            </w:r>
            <w:r>
              <w:rPr>
                <w:color w:val="auto"/>
                <w:sz w:val="24"/>
              </w:rPr>
              <w:t>《陕西省煤炭石油天然气开发生态环境保护条例》（2019年修订）</w:t>
            </w:r>
            <w:r>
              <w:rPr>
                <w:rFonts w:hint="eastAsia"/>
                <w:color w:val="auto"/>
                <w:sz w:val="24"/>
              </w:rPr>
              <w:t>的的符合性见表1-7。</w:t>
            </w:r>
          </w:p>
          <w:p>
            <w:pPr>
              <w:pStyle w:val="82"/>
              <w:snapToGrid w:val="0"/>
              <w:spacing w:line="360" w:lineRule="auto"/>
              <w:ind w:firstLine="0" w:firstLineChars="0"/>
              <w:jc w:val="center"/>
              <w:rPr>
                <w:rFonts w:ascii="Times New Roman" w:hAnsi="Times New Roman" w:eastAsia="黑体"/>
                <w:color w:val="auto"/>
              </w:rPr>
            </w:pPr>
            <w:r>
              <w:rPr>
                <w:rFonts w:hint="eastAsia" w:ascii="Times New Roman" w:hAnsi="Times New Roman" w:eastAsia="黑体"/>
                <w:color w:val="auto"/>
              </w:rPr>
              <w:t xml:space="preserve">表1-7 </w:t>
            </w:r>
            <w:r>
              <w:rPr>
                <w:rFonts w:ascii="Times New Roman" w:hAnsi="Times New Roman" w:eastAsia="黑体"/>
                <w:color w:val="auto"/>
              </w:rPr>
              <w:t>项目与《陕西省煤炭石油天然气开发生态环境保护条例》的的符合性分析</w:t>
            </w:r>
          </w:p>
          <w:tbl>
            <w:tblPr>
              <w:tblStyle w:val="34"/>
              <w:tblW w:w="7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713"/>
              <w:gridCol w:w="2170"/>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序号</w:t>
                  </w:r>
                </w:p>
              </w:tc>
              <w:tc>
                <w:tcPr>
                  <w:tcW w:w="3713" w:type="dxa"/>
                  <w:vAlign w:val="center"/>
                </w:tcPr>
                <w:p>
                  <w:pPr>
                    <w:adjustRightInd w:val="0"/>
                    <w:snapToGrid w:val="0"/>
                    <w:jc w:val="center"/>
                    <w:rPr>
                      <w:color w:val="auto"/>
                      <w:kern w:val="0"/>
                      <w:szCs w:val="21"/>
                    </w:rPr>
                  </w:pPr>
                  <w:r>
                    <w:rPr>
                      <w:rFonts w:hint="eastAsia"/>
                      <w:color w:val="auto"/>
                      <w:kern w:val="0"/>
                      <w:szCs w:val="21"/>
                    </w:rPr>
                    <w:t>文件要求</w:t>
                  </w:r>
                </w:p>
              </w:tc>
              <w:tc>
                <w:tcPr>
                  <w:tcW w:w="2170" w:type="dxa"/>
                  <w:vAlign w:val="center"/>
                </w:tcPr>
                <w:p>
                  <w:pPr>
                    <w:adjustRightInd w:val="0"/>
                    <w:snapToGrid w:val="0"/>
                    <w:jc w:val="center"/>
                    <w:rPr>
                      <w:color w:val="auto"/>
                      <w:kern w:val="0"/>
                      <w:szCs w:val="21"/>
                    </w:rPr>
                  </w:pPr>
                  <w:r>
                    <w:rPr>
                      <w:rFonts w:hint="eastAsia"/>
                      <w:color w:val="auto"/>
                      <w:kern w:val="0"/>
                      <w:szCs w:val="21"/>
                    </w:rPr>
                    <w:t>本项目情况</w:t>
                  </w:r>
                </w:p>
              </w:tc>
              <w:tc>
                <w:tcPr>
                  <w:tcW w:w="955" w:type="dxa"/>
                  <w:vAlign w:val="center"/>
                </w:tcPr>
                <w:p>
                  <w:pPr>
                    <w:adjustRightInd w:val="0"/>
                    <w:snapToGrid w:val="0"/>
                    <w:jc w:val="center"/>
                    <w:rPr>
                      <w:color w:val="auto"/>
                      <w:kern w:val="0"/>
                      <w:szCs w:val="21"/>
                    </w:rPr>
                  </w:pPr>
                  <w:r>
                    <w:rPr>
                      <w:rFonts w:hint="eastAsia"/>
                      <w:color w:val="auto"/>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1</w:t>
                  </w:r>
                </w:p>
              </w:tc>
              <w:tc>
                <w:tcPr>
                  <w:tcW w:w="3713" w:type="dxa"/>
                  <w:vAlign w:val="center"/>
                </w:tcPr>
                <w:p>
                  <w:pPr>
                    <w:adjustRightInd w:val="0"/>
                    <w:snapToGrid w:val="0"/>
                    <w:jc w:val="center"/>
                    <w:rPr>
                      <w:color w:val="auto"/>
                      <w:kern w:val="0"/>
                      <w:szCs w:val="21"/>
                    </w:rPr>
                  </w:pPr>
                  <w:r>
                    <w:rPr>
                      <w:rFonts w:hint="eastAsia"/>
                      <w:color w:val="auto"/>
                      <w:kern w:val="0"/>
                      <w:szCs w:val="21"/>
                    </w:rPr>
                    <w:t>第二十三条：煤炭、石油、天然气开发单位实施建设项目，并保证污染防治设施正常运行</w:t>
                  </w:r>
                </w:p>
              </w:tc>
              <w:tc>
                <w:tcPr>
                  <w:tcW w:w="2170" w:type="dxa"/>
                  <w:vAlign w:val="center"/>
                </w:tcPr>
                <w:p>
                  <w:pPr>
                    <w:adjustRightInd w:val="0"/>
                    <w:snapToGrid w:val="0"/>
                    <w:jc w:val="center"/>
                    <w:rPr>
                      <w:color w:val="auto"/>
                      <w:kern w:val="0"/>
                      <w:szCs w:val="21"/>
                      <w:lang w:val="zh-CN"/>
                    </w:rPr>
                  </w:pPr>
                  <w:r>
                    <w:rPr>
                      <w:rFonts w:hint="eastAsia"/>
                      <w:color w:val="auto"/>
                      <w:kern w:val="0"/>
                      <w:szCs w:val="21"/>
                    </w:rPr>
                    <w:t>环评要求项目严格遵守三同时制度，运营期严格按照要求进行维护保养设备，保证污染防治设施正常运行</w:t>
                  </w:r>
                </w:p>
              </w:tc>
              <w:tc>
                <w:tcPr>
                  <w:tcW w:w="955" w:type="dxa"/>
                  <w:vAlign w:val="center"/>
                </w:tcPr>
                <w:p>
                  <w:pPr>
                    <w:adjustRightInd w:val="0"/>
                    <w:snapToGrid w:val="0"/>
                    <w:jc w:val="center"/>
                    <w:rPr>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2</w:t>
                  </w:r>
                </w:p>
              </w:tc>
              <w:tc>
                <w:tcPr>
                  <w:tcW w:w="3713" w:type="dxa"/>
                  <w:vAlign w:val="center"/>
                </w:tcPr>
                <w:p>
                  <w:pPr>
                    <w:adjustRightInd w:val="0"/>
                    <w:snapToGrid w:val="0"/>
                    <w:jc w:val="center"/>
                    <w:rPr>
                      <w:color w:val="auto"/>
                      <w:kern w:val="0"/>
                      <w:szCs w:val="21"/>
                    </w:rPr>
                  </w:pPr>
                  <w:r>
                    <w:rPr>
                      <w:rFonts w:hint="eastAsia"/>
                      <w:color w:val="auto"/>
                      <w:kern w:val="0"/>
                      <w:szCs w:val="21"/>
                    </w:rPr>
                    <w:t>第二十六条：</w:t>
                  </w:r>
                  <w:r>
                    <w:rPr>
                      <w:color w:val="auto"/>
                      <w:kern w:val="0"/>
                      <w:szCs w:val="21"/>
                    </w:rPr>
                    <w:t>石油、天然气开发单位应当对开采过程中产生的钻井废水、压裂返排液、采出水按照国家有关规定进行无害化处理，经处理达到标准的，按照经批准的环境影响评价文件要求排放或者回注。石油采出水应当同层回注，不得外排。</w:t>
                  </w:r>
                </w:p>
              </w:tc>
              <w:tc>
                <w:tcPr>
                  <w:tcW w:w="2170" w:type="dxa"/>
                  <w:vAlign w:val="center"/>
                </w:tcPr>
                <w:p>
                  <w:pPr>
                    <w:adjustRightInd w:val="0"/>
                    <w:snapToGrid w:val="0"/>
                    <w:jc w:val="center"/>
                    <w:rPr>
                      <w:color w:val="auto"/>
                      <w:kern w:val="0"/>
                      <w:szCs w:val="21"/>
                    </w:rPr>
                  </w:pPr>
                  <w:r>
                    <w:rPr>
                      <w:rFonts w:hint="eastAsia"/>
                      <w:color w:val="auto"/>
                      <w:kern w:val="0"/>
                      <w:szCs w:val="21"/>
                    </w:rPr>
                    <w:t>本项目处理后的</w:t>
                  </w:r>
                  <w:r>
                    <w:rPr>
                      <w:color w:val="auto"/>
                      <w:kern w:val="0"/>
                      <w:szCs w:val="21"/>
                    </w:rPr>
                    <w:t>采出水同层回注</w:t>
                  </w:r>
                  <w:r>
                    <w:rPr>
                      <w:rFonts w:hint="eastAsia"/>
                      <w:color w:val="auto"/>
                      <w:kern w:val="0"/>
                      <w:szCs w:val="21"/>
                    </w:rPr>
                    <w:t>。</w:t>
                  </w:r>
                </w:p>
              </w:tc>
              <w:tc>
                <w:tcPr>
                  <w:tcW w:w="955" w:type="dxa"/>
                  <w:vAlign w:val="center"/>
                </w:tcPr>
                <w:p>
                  <w:pPr>
                    <w:adjustRightInd w:val="0"/>
                    <w:snapToGrid w:val="0"/>
                    <w:jc w:val="center"/>
                    <w:rPr>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3</w:t>
                  </w:r>
                </w:p>
              </w:tc>
              <w:tc>
                <w:tcPr>
                  <w:tcW w:w="3713" w:type="dxa"/>
                  <w:vAlign w:val="center"/>
                </w:tcPr>
                <w:p>
                  <w:pPr>
                    <w:adjustRightInd w:val="0"/>
                    <w:snapToGrid w:val="0"/>
                    <w:jc w:val="center"/>
                    <w:rPr>
                      <w:color w:val="auto"/>
                      <w:kern w:val="0"/>
                      <w:szCs w:val="21"/>
                    </w:rPr>
                  </w:pPr>
                  <w:r>
                    <w:rPr>
                      <w:rFonts w:hint="eastAsia"/>
                      <w:color w:val="auto"/>
                      <w:kern w:val="0"/>
                      <w:szCs w:val="21"/>
                    </w:rPr>
                    <w:t>第二十九条：煤炭、石油、天然气开发单位收集、贮存、运输、利用和处置危险废物，应当严格执行国家和本省有关规定，不得将危险废物交由不具备资质的单位处置。</w:t>
                  </w:r>
                </w:p>
              </w:tc>
              <w:tc>
                <w:tcPr>
                  <w:tcW w:w="2170" w:type="dxa"/>
                  <w:vAlign w:val="center"/>
                </w:tcPr>
                <w:p>
                  <w:pPr>
                    <w:adjustRightInd w:val="0"/>
                    <w:snapToGrid w:val="0"/>
                    <w:jc w:val="center"/>
                    <w:rPr>
                      <w:color w:val="auto"/>
                      <w:kern w:val="0"/>
                      <w:szCs w:val="21"/>
                    </w:rPr>
                  </w:pPr>
                  <w:r>
                    <w:rPr>
                      <w:rFonts w:hint="eastAsia"/>
                      <w:color w:val="auto"/>
                      <w:kern w:val="0"/>
                      <w:szCs w:val="21"/>
                    </w:rPr>
                    <w:t>本项目运行过程产生的含油污泥暂存在污水污泥罐，定期委托有资质单位处置；过滤的废滤料由厂家更换回收后委托有资质单位处置</w:t>
                  </w:r>
                </w:p>
              </w:tc>
              <w:tc>
                <w:tcPr>
                  <w:tcW w:w="955" w:type="dxa"/>
                  <w:vAlign w:val="center"/>
                </w:tcPr>
                <w:p>
                  <w:pPr>
                    <w:adjustRightInd w:val="0"/>
                    <w:snapToGrid w:val="0"/>
                    <w:jc w:val="center"/>
                    <w:rPr>
                      <w:color w:val="auto"/>
                      <w:kern w:val="0"/>
                      <w:szCs w:val="21"/>
                    </w:rPr>
                  </w:pPr>
                  <w:r>
                    <w:rPr>
                      <w:rFonts w:hint="eastAsia"/>
                      <w:color w:val="auto"/>
                      <w:kern w:val="0"/>
                      <w:szCs w:val="21"/>
                    </w:rPr>
                    <w:t>符合</w:t>
                  </w:r>
                </w:p>
              </w:tc>
            </w:tr>
          </w:tbl>
          <w:p>
            <w:pPr>
              <w:spacing w:line="360" w:lineRule="auto"/>
              <w:ind w:firstLine="482" w:firstLineChars="200"/>
              <w:rPr>
                <w:b/>
                <w:bCs/>
                <w:color w:val="auto"/>
                <w:sz w:val="24"/>
              </w:rPr>
            </w:pPr>
            <w:r>
              <w:rPr>
                <w:rFonts w:hint="eastAsia"/>
                <w:b/>
                <w:bCs/>
                <w:color w:val="auto"/>
                <w:sz w:val="24"/>
              </w:rPr>
              <w:t>8、项目与《榆林市2023年生态环境保护三十项攻坚行动方案》的符合性分析</w:t>
            </w:r>
          </w:p>
          <w:p>
            <w:pPr>
              <w:spacing w:line="360" w:lineRule="auto"/>
              <w:ind w:firstLine="480" w:firstLineChars="200"/>
              <w:rPr>
                <w:color w:val="auto"/>
                <w:sz w:val="24"/>
              </w:rPr>
            </w:pPr>
            <w:r>
              <w:rPr>
                <w:rFonts w:hint="eastAsia"/>
                <w:color w:val="auto"/>
                <w:sz w:val="24"/>
              </w:rPr>
              <w:t>项目与《榆林市2023年生态环境保护三十项攻坚行动方案》（榆办字〔2023〕33号）的符合性分析详见表1-8。</w:t>
            </w:r>
          </w:p>
          <w:p>
            <w:pPr>
              <w:pStyle w:val="82"/>
              <w:snapToGrid w:val="0"/>
              <w:spacing w:line="360" w:lineRule="auto"/>
              <w:ind w:firstLine="0" w:firstLineChars="0"/>
              <w:jc w:val="center"/>
              <w:rPr>
                <w:rFonts w:ascii="Times New Roman" w:hAnsi="Times New Roman" w:eastAsia="黑体"/>
                <w:color w:val="auto"/>
              </w:rPr>
            </w:pPr>
            <w:r>
              <w:rPr>
                <w:rFonts w:ascii="Times New Roman" w:hAnsi="Times New Roman" w:eastAsia="黑体"/>
                <w:color w:val="auto"/>
              </w:rPr>
              <w:t>表</w:t>
            </w:r>
            <w:r>
              <w:rPr>
                <w:rFonts w:hint="eastAsia" w:ascii="Times New Roman" w:hAnsi="Times New Roman" w:eastAsia="黑体"/>
                <w:color w:val="auto"/>
              </w:rPr>
              <w:t xml:space="preserve">1-8 </w:t>
            </w:r>
            <w:r>
              <w:rPr>
                <w:rFonts w:ascii="Times New Roman" w:hAnsi="Times New Roman" w:eastAsia="黑体"/>
                <w:color w:val="auto"/>
              </w:rPr>
              <w:t>项目与《榆林市2023年生态环境保护三十项攻坚行动方案》的符合性分析表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679"/>
              <w:gridCol w:w="2204"/>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4384" w:type="dxa"/>
                  <w:gridSpan w:val="2"/>
                  <w:vAlign w:val="center"/>
                </w:tcPr>
                <w:p>
                  <w:pPr>
                    <w:adjustRightInd w:val="0"/>
                    <w:snapToGrid w:val="0"/>
                    <w:jc w:val="center"/>
                    <w:rPr>
                      <w:color w:val="auto"/>
                      <w:kern w:val="0"/>
                      <w:szCs w:val="21"/>
                    </w:rPr>
                  </w:pPr>
                  <w:r>
                    <w:rPr>
                      <w:rFonts w:hint="eastAsia"/>
                      <w:color w:val="auto"/>
                      <w:kern w:val="0"/>
                      <w:szCs w:val="21"/>
                    </w:rPr>
                    <w:t>文件要求</w:t>
                  </w:r>
                </w:p>
              </w:tc>
              <w:tc>
                <w:tcPr>
                  <w:tcW w:w="2204" w:type="dxa"/>
                  <w:vAlign w:val="center"/>
                </w:tcPr>
                <w:p>
                  <w:pPr>
                    <w:adjustRightInd w:val="0"/>
                    <w:snapToGrid w:val="0"/>
                    <w:jc w:val="center"/>
                    <w:rPr>
                      <w:color w:val="auto"/>
                      <w:kern w:val="0"/>
                      <w:szCs w:val="21"/>
                    </w:rPr>
                  </w:pPr>
                  <w:r>
                    <w:rPr>
                      <w:rFonts w:hint="eastAsia"/>
                      <w:color w:val="auto"/>
                      <w:kern w:val="0"/>
                      <w:szCs w:val="21"/>
                    </w:rPr>
                    <w:t>本项目情况</w:t>
                  </w:r>
                </w:p>
              </w:tc>
              <w:tc>
                <w:tcPr>
                  <w:tcW w:w="955" w:type="dxa"/>
                  <w:vAlign w:val="center"/>
                </w:tcPr>
                <w:p>
                  <w:pPr>
                    <w:adjustRightInd w:val="0"/>
                    <w:snapToGrid w:val="0"/>
                    <w:jc w:val="center"/>
                    <w:rPr>
                      <w:color w:val="auto"/>
                      <w:kern w:val="0"/>
                      <w:szCs w:val="21"/>
                    </w:rPr>
                  </w:pPr>
                  <w:r>
                    <w:rPr>
                      <w:rFonts w:hint="eastAsia"/>
                      <w:color w:val="auto"/>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4、建筑工地精细化管控行动</w:t>
                  </w:r>
                </w:p>
              </w:tc>
              <w:tc>
                <w:tcPr>
                  <w:tcW w:w="3679" w:type="dxa"/>
                  <w:vAlign w:val="center"/>
                </w:tcPr>
                <w:p>
                  <w:pPr>
                    <w:adjustRightInd w:val="0"/>
                    <w:snapToGrid w:val="0"/>
                    <w:jc w:val="center"/>
                    <w:rPr>
                      <w:color w:val="auto"/>
                      <w:kern w:val="0"/>
                      <w:szCs w:val="21"/>
                    </w:rPr>
                  </w:pPr>
                  <w:r>
                    <w:rPr>
                      <w:rFonts w:hint="eastAsia"/>
                      <w:color w:val="auto"/>
                      <w:kern w:val="0"/>
                      <w:szCs w:val="21"/>
                    </w:rPr>
                    <w:t>榆林中心城区和各县市区城区及周边所有建筑（道路工程、商砼站）施工必须做到工地周边围挡、物料裸土覆盖、土方开挖（拆迁）湿法作业、路面硬化、出入车辆清洗、渣土车辆密闭运输“六个百分之百”；地基开挖、桩基施工、渣土运输等施工阶段，洒水、覆盖、冲洗等防尘措施持续进行；严格落实车辆出入工地清洗制度，严禁带泥上路，杜绝燃烧木柴、竹胶板及露天焚烧垃圾等；建筑工地场界建设喷淋设施、视频监控、扬尘在线监测系统并联网管理。严格执行“红黄绿”牌联席管理制度，纳入“黄牌”的限期整改，纳入“红牌”的依法停工整改；一年内两次纳入“红牌”的取消评选文明工地资格。</w:t>
                  </w:r>
                </w:p>
              </w:tc>
              <w:tc>
                <w:tcPr>
                  <w:tcW w:w="2204" w:type="dxa"/>
                  <w:vAlign w:val="center"/>
                </w:tcPr>
                <w:p>
                  <w:pPr>
                    <w:adjustRightInd w:val="0"/>
                    <w:snapToGrid w:val="0"/>
                    <w:jc w:val="center"/>
                    <w:rPr>
                      <w:color w:val="auto"/>
                      <w:kern w:val="0"/>
                      <w:szCs w:val="21"/>
                    </w:rPr>
                  </w:pPr>
                  <w:r>
                    <w:rPr>
                      <w:rFonts w:hint="eastAsia"/>
                      <w:color w:val="auto"/>
                      <w:kern w:val="0"/>
                      <w:szCs w:val="21"/>
                    </w:rPr>
                    <w:t>环评要求建设单位严格按照方案中各项扬尘控制措施进行施工，做到工地周边围挡、物料裸土覆盖、土方开挖（拆迁）湿法作业、渣土车辆密闭运输“六个百分之百"，地基开挖、桩基施工、渣土运输等施工阶段，洒水、覆盖、冲洗等防尘措施持续进行。严格执行扬尘治理'‘红黄绿"监督管理制度。</w:t>
                  </w:r>
                </w:p>
              </w:tc>
              <w:tc>
                <w:tcPr>
                  <w:tcW w:w="955" w:type="dxa"/>
                  <w:vAlign w:val="center"/>
                </w:tcPr>
                <w:p>
                  <w:pPr>
                    <w:adjustRightInd w:val="0"/>
                    <w:snapToGrid w:val="0"/>
                    <w:jc w:val="center"/>
                    <w:rPr>
                      <w:color w:val="auto"/>
                      <w:kern w:val="0"/>
                      <w:szCs w:val="21"/>
                    </w:rPr>
                  </w:pPr>
                  <w:r>
                    <w:rPr>
                      <w:rFonts w:hint="eastAsia"/>
                      <w:color w:val="auto"/>
                      <w:kern w:val="0"/>
                      <w:szCs w:val="21"/>
                    </w:rPr>
                    <w:t>符合</w:t>
                  </w:r>
                </w:p>
              </w:tc>
            </w:tr>
          </w:tbl>
          <w:p>
            <w:pPr>
              <w:spacing w:line="360" w:lineRule="auto"/>
              <w:ind w:firstLine="482" w:firstLineChars="200"/>
              <w:rPr>
                <w:b/>
                <w:bCs/>
                <w:color w:val="auto"/>
                <w:sz w:val="24"/>
              </w:rPr>
            </w:pPr>
            <w:r>
              <w:rPr>
                <w:rFonts w:hint="eastAsia"/>
                <w:b/>
                <w:bCs/>
                <w:color w:val="auto"/>
                <w:sz w:val="24"/>
              </w:rPr>
              <w:t>9、项目与《</w:t>
            </w:r>
            <w:r>
              <w:rPr>
                <w:b/>
                <w:bCs/>
                <w:color w:val="auto"/>
                <w:sz w:val="24"/>
              </w:rPr>
              <w:t>定边县202</w:t>
            </w:r>
            <w:r>
              <w:rPr>
                <w:rFonts w:hint="eastAsia"/>
                <w:b/>
                <w:bCs/>
                <w:color w:val="auto"/>
                <w:sz w:val="24"/>
              </w:rPr>
              <w:t>3</w:t>
            </w:r>
            <w:r>
              <w:rPr>
                <w:b/>
                <w:bCs/>
                <w:color w:val="auto"/>
                <w:sz w:val="24"/>
              </w:rPr>
              <w:t>年生态环境保护</w:t>
            </w:r>
            <w:r>
              <w:rPr>
                <w:rFonts w:hint="eastAsia"/>
                <w:b/>
                <w:bCs/>
                <w:color w:val="auto"/>
                <w:sz w:val="24"/>
              </w:rPr>
              <w:t>二十五项</w:t>
            </w:r>
            <w:r>
              <w:rPr>
                <w:b/>
                <w:bCs/>
                <w:color w:val="auto"/>
                <w:sz w:val="24"/>
              </w:rPr>
              <w:t>攻坚行动方案</w:t>
            </w:r>
            <w:r>
              <w:rPr>
                <w:rFonts w:hint="eastAsia"/>
                <w:b/>
                <w:bCs/>
                <w:color w:val="auto"/>
                <w:sz w:val="24"/>
              </w:rPr>
              <w:t>》的符合性分析</w:t>
            </w:r>
          </w:p>
          <w:p>
            <w:pPr>
              <w:spacing w:line="360" w:lineRule="auto"/>
              <w:ind w:firstLine="480" w:firstLineChars="200"/>
              <w:rPr>
                <w:color w:val="auto"/>
                <w:sz w:val="24"/>
              </w:rPr>
            </w:pPr>
            <w:r>
              <w:rPr>
                <w:rFonts w:hint="eastAsia"/>
                <w:color w:val="auto"/>
                <w:sz w:val="24"/>
              </w:rPr>
              <w:t>项目与《</w:t>
            </w:r>
            <w:r>
              <w:rPr>
                <w:color w:val="auto"/>
                <w:sz w:val="24"/>
              </w:rPr>
              <w:t>定边县202</w:t>
            </w:r>
            <w:r>
              <w:rPr>
                <w:rFonts w:hint="eastAsia"/>
                <w:color w:val="auto"/>
                <w:sz w:val="24"/>
              </w:rPr>
              <w:t>3</w:t>
            </w:r>
            <w:r>
              <w:rPr>
                <w:color w:val="auto"/>
                <w:sz w:val="24"/>
              </w:rPr>
              <w:t>年生态环境保护</w:t>
            </w:r>
            <w:r>
              <w:rPr>
                <w:rFonts w:hint="eastAsia"/>
                <w:color w:val="auto"/>
                <w:sz w:val="24"/>
              </w:rPr>
              <w:t>二十五项</w:t>
            </w:r>
            <w:r>
              <w:rPr>
                <w:color w:val="auto"/>
                <w:sz w:val="24"/>
              </w:rPr>
              <w:t>攻坚行动方案</w:t>
            </w:r>
            <w:r>
              <w:rPr>
                <w:rFonts w:hint="eastAsia"/>
                <w:color w:val="auto"/>
                <w:sz w:val="24"/>
              </w:rPr>
              <w:t>》的符合性分析详见表1-9。</w:t>
            </w:r>
          </w:p>
          <w:p>
            <w:pPr>
              <w:pStyle w:val="82"/>
              <w:snapToGrid w:val="0"/>
              <w:spacing w:line="360" w:lineRule="auto"/>
              <w:ind w:firstLine="0" w:firstLineChars="0"/>
              <w:jc w:val="center"/>
              <w:rPr>
                <w:rFonts w:ascii="Times New Roman" w:hAnsi="Times New Roman" w:eastAsia="黑体"/>
                <w:color w:val="auto"/>
              </w:rPr>
            </w:pPr>
            <w:r>
              <w:rPr>
                <w:rFonts w:ascii="Times New Roman" w:hAnsi="Times New Roman" w:eastAsia="黑体"/>
                <w:color w:val="auto"/>
              </w:rPr>
              <w:t>表</w:t>
            </w:r>
            <w:r>
              <w:rPr>
                <w:rFonts w:hint="eastAsia" w:ascii="Times New Roman" w:hAnsi="Times New Roman" w:eastAsia="黑体"/>
                <w:color w:val="auto"/>
              </w:rPr>
              <w:t>1-9</w:t>
            </w:r>
            <w:r>
              <w:rPr>
                <w:rFonts w:ascii="Times New Roman" w:hAnsi="Times New Roman" w:eastAsia="黑体"/>
                <w:color w:val="auto"/>
              </w:rPr>
              <w:t xml:space="preserve"> 项目与《</w:t>
            </w:r>
            <w:r>
              <w:rPr>
                <w:rFonts w:hint="eastAsia" w:ascii="Times New Roman" w:hAnsi="Times New Roman" w:eastAsia="黑体"/>
                <w:color w:val="auto"/>
              </w:rPr>
              <w:t>定边县2023年生态环境保护二十五项攻坚行动方案</w:t>
            </w:r>
            <w:r>
              <w:rPr>
                <w:rFonts w:ascii="Times New Roman" w:hAnsi="Times New Roman" w:eastAsia="黑体"/>
                <w:color w:val="auto"/>
              </w:rPr>
              <w:t>》的符合性分析表</w:t>
            </w:r>
          </w:p>
          <w:tbl>
            <w:tblPr>
              <w:tblStyle w:val="34"/>
              <w:tblW w:w="7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278"/>
              <w:gridCol w:w="2605"/>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序号</w:t>
                  </w:r>
                </w:p>
              </w:tc>
              <w:tc>
                <w:tcPr>
                  <w:tcW w:w="3278" w:type="dxa"/>
                  <w:vAlign w:val="center"/>
                </w:tcPr>
                <w:p>
                  <w:pPr>
                    <w:adjustRightInd w:val="0"/>
                    <w:snapToGrid w:val="0"/>
                    <w:jc w:val="center"/>
                    <w:rPr>
                      <w:color w:val="auto"/>
                      <w:kern w:val="0"/>
                      <w:szCs w:val="21"/>
                    </w:rPr>
                  </w:pPr>
                  <w:r>
                    <w:rPr>
                      <w:rFonts w:hint="eastAsia"/>
                      <w:color w:val="auto"/>
                      <w:kern w:val="0"/>
                      <w:szCs w:val="21"/>
                    </w:rPr>
                    <w:t>文件要求</w:t>
                  </w:r>
                </w:p>
              </w:tc>
              <w:tc>
                <w:tcPr>
                  <w:tcW w:w="2605" w:type="dxa"/>
                  <w:vAlign w:val="center"/>
                </w:tcPr>
                <w:p>
                  <w:pPr>
                    <w:adjustRightInd w:val="0"/>
                    <w:snapToGrid w:val="0"/>
                    <w:jc w:val="center"/>
                    <w:rPr>
                      <w:color w:val="auto"/>
                      <w:kern w:val="0"/>
                      <w:szCs w:val="21"/>
                    </w:rPr>
                  </w:pPr>
                  <w:r>
                    <w:rPr>
                      <w:rFonts w:hint="eastAsia"/>
                      <w:color w:val="auto"/>
                      <w:kern w:val="0"/>
                      <w:szCs w:val="21"/>
                    </w:rPr>
                    <w:t>本项目情况</w:t>
                  </w:r>
                </w:p>
              </w:tc>
              <w:tc>
                <w:tcPr>
                  <w:tcW w:w="955" w:type="dxa"/>
                  <w:vAlign w:val="center"/>
                </w:tcPr>
                <w:p>
                  <w:pPr>
                    <w:adjustRightInd w:val="0"/>
                    <w:snapToGrid w:val="0"/>
                    <w:jc w:val="center"/>
                    <w:rPr>
                      <w:color w:val="auto"/>
                      <w:kern w:val="0"/>
                      <w:szCs w:val="21"/>
                    </w:rPr>
                  </w:pPr>
                  <w:r>
                    <w:rPr>
                      <w:rFonts w:hint="eastAsia"/>
                      <w:color w:val="auto"/>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1</w:t>
                  </w:r>
                </w:p>
              </w:tc>
              <w:tc>
                <w:tcPr>
                  <w:tcW w:w="3278" w:type="dxa"/>
                  <w:vAlign w:val="center"/>
                </w:tcPr>
                <w:p>
                  <w:pPr>
                    <w:spacing w:line="300" w:lineRule="atLeast"/>
                    <w:jc w:val="center"/>
                    <w:rPr>
                      <w:color w:val="auto"/>
                      <w:szCs w:val="21"/>
                    </w:rPr>
                  </w:pPr>
                  <w:r>
                    <w:rPr>
                      <w:color w:val="auto"/>
                      <w:szCs w:val="21"/>
                    </w:rPr>
                    <w:t>3.建筑工地精细化管控行动。城区及周边所有建筑工地、道路工程施工以及全县所有商砼站运行做到场地周边围挡、物料裸土覆盖、土方开挖（拆迁）湿法作业、路面硬化、出入车辆清洗、渣土车辆密闭运输“六个百分百”。地基开挖、桩基施工、渣土运输等施工阶段，</w:t>
                  </w:r>
                  <w:r>
                    <w:rPr>
                      <w:rFonts w:hint="eastAsia"/>
                      <w:color w:val="auto"/>
                      <w:szCs w:val="21"/>
                    </w:rPr>
                    <w:t>采取</w:t>
                  </w:r>
                  <w:r>
                    <w:rPr>
                      <w:color w:val="auto"/>
                      <w:szCs w:val="21"/>
                    </w:rPr>
                    <w:t>洒水、覆盖、冲洗等防尘措施持续进行。</w:t>
                  </w:r>
                </w:p>
              </w:tc>
              <w:tc>
                <w:tcPr>
                  <w:tcW w:w="2605" w:type="dxa"/>
                  <w:vAlign w:val="center"/>
                </w:tcPr>
                <w:p>
                  <w:pPr>
                    <w:spacing w:line="300" w:lineRule="atLeast"/>
                    <w:jc w:val="center"/>
                    <w:rPr>
                      <w:color w:val="auto"/>
                      <w:szCs w:val="21"/>
                      <w:lang w:val="zh-CN"/>
                    </w:rPr>
                  </w:pPr>
                  <w:r>
                    <w:rPr>
                      <w:color w:val="auto"/>
                      <w:szCs w:val="21"/>
                    </w:rPr>
                    <w:t>评价要求建设单位做到工地周边围挡、物料裸土覆盖、土方</w:t>
                  </w:r>
                  <w:r>
                    <w:rPr>
                      <w:rFonts w:hint="eastAsia"/>
                      <w:color w:val="auto"/>
                      <w:szCs w:val="21"/>
                    </w:rPr>
                    <w:t>开</w:t>
                  </w:r>
                  <w:r>
                    <w:rPr>
                      <w:color w:val="auto"/>
                      <w:szCs w:val="21"/>
                    </w:rPr>
                    <w:t>挖湿法作业、路面硬化、出入车辆清洗、渣土车辆密闭运输</w:t>
                  </w:r>
                  <w:r>
                    <w:rPr>
                      <w:rFonts w:hint="eastAsia"/>
                      <w:color w:val="auto"/>
                      <w:szCs w:val="21"/>
                    </w:rPr>
                    <w:t>“</w:t>
                  </w:r>
                  <w:r>
                    <w:rPr>
                      <w:color w:val="auto"/>
                      <w:szCs w:val="21"/>
                    </w:rPr>
                    <w:t>六个百分百</w:t>
                  </w:r>
                  <w:r>
                    <w:rPr>
                      <w:rFonts w:hint="eastAsia"/>
                      <w:color w:val="auto"/>
                      <w:szCs w:val="21"/>
                    </w:rPr>
                    <w:t>”</w:t>
                  </w:r>
                  <w:r>
                    <w:rPr>
                      <w:color w:val="auto"/>
                      <w:szCs w:val="21"/>
                    </w:rPr>
                    <w:t>；地基开挖、桩基施工、渣土运输等施工阶段，</w:t>
                  </w:r>
                  <w:r>
                    <w:rPr>
                      <w:rFonts w:hint="eastAsia"/>
                      <w:color w:val="auto"/>
                      <w:szCs w:val="21"/>
                    </w:rPr>
                    <w:t>采取</w:t>
                  </w:r>
                  <w:r>
                    <w:rPr>
                      <w:color w:val="auto"/>
                      <w:szCs w:val="21"/>
                    </w:rPr>
                    <w:t>洒水、覆盖、冲洗等防尘措施持续进行</w:t>
                  </w:r>
                  <w:r>
                    <w:rPr>
                      <w:rFonts w:hint="eastAsia"/>
                      <w:color w:val="auto"/>
                      <w:szCs w:val="21"/>
                    </w:rPr>
                    <w:t>。</w:t>
                  </w:r>
                </w:p>
              </w:tc>
              <w:tc>
                <w:tcPr>
                  <w:tcW w:w="955" w:type="dxa"/>
                  <w:vAlign w:val="center"/>
                </w:tcPr>
                <w:p>
                  <w:pPr>
                    <w:spacing w:line="300" w:lineRule="atLeast"/>
                    <w:jc w:val="center"/>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5" w:type="dxa"/>
                  <w:vAlign w:val="center"/>
                </w:tcPr>
                <w:p>
                  <w:pPr>
                    <w:adjustRightInd w:val="0"/>
                    <w:snapToGrid w:val="0"/>
                    <w:jc w:val="center"/>
                    <w:rPr>
                      <w:color w:val="auto"/>
                      <w:kern w:val="0"/>
                      <w:szCs w:val="21"/>
                    </w:rPr>
                  </w:pPr>
                  <w:r>
                    <w:rPr>
                      <w:rFonts w:hint="eastAsia"/>
                      <w:color w:val="auto"/>
                      <w:kern w:val="0"/>
                      <w:szCs w:val="21"/>
                    </w:rPr>
                    <w:t>2</w:t>
                  </w:r>
                </w:p>
              </w:tc>
              <w:tc>
                <w:tcPr>
                  <w:tcW w:w="3278" w:type="dxa"/>
                  <w:vAlign w:val="center"/>
                </w:tcPr>
                <w:p>
                  <w:pPr>
                    <w:spacing w:line="300" w:lineRule="atLeast"/>
                    <w:jc w:val="center"/>
                    <w:rPr>
                      <w:color w:val="auto"/>
                      <w:szCs w:val="21"/>
                    </w:rPr>
                  </w:pPr>
                  <w:r>
                    <w:rPr>
                      <w:color w:val="auto"/>
                      <w:szCs w:val="21"/>
                    </w:rPr>
                    <w:t>10.非道路移动机械管控行动。强化非道路移动机械尾气排放管控，定边县行政区域内禁止未编码挂牌及检测不合格的非道路机械使用。</w:t>
                  </w:r>
                </w:p>
              </w:tc>
              <w:tc>
                <w:tcPr>
                  <w:tcW w:w="2605" w:type="dxa"/>
                  <w:vAlign w:val="center"/>
                </w:tcPr>
                <w:p>
                  <w:pPr>
                    <w:spacing w:line="300" w:lineRule="atLeast"/>
                    <w:jc w:val="center"/>
                    <w:rPr>
                      <w:color w:val="auto"/>
                      <w:szCs w:val="21"/>
                    </w:rPr>
                  </w:pPr>
                  <w:r>
                    <w:rPr>
                      <w:color w:val="auto"/>
                      <w:szCs w:val="21"/>
                    </w:rPr>
                    <w:t>评价要求项目</w:t>
                  </w:r>
                  <w:r>
                    <w:rPr>
                      <w:rFonts w:hint="eastAsia"/>
                      <w:color w:val="auto"/>
                      <w:szCs w:val="21"/>
                    </w:rPr>
                    <w:t>建设单位</w:t>
                  </w:r>
                  <w:r>
                    <w:rPr>
                      <w:color w:val="auto"/>
                      <w:szCs w:val="21"/>
                    </w:rPr>
                    <w:t>禁止使用高排放非道路移动机械，禁止使用未编码登记挂牌及检测不</w:t>
                  </w:r>
                  <w:r>
                    <w:rPr>
                      <w:rFonts w:hint="eastAsia"/>
                      <w:color w:val="auto"/>
                      <w:szCs w:val="21"/>
                    </w:rPr>
                    <w:t>合格</w:t>
                  </w:r>
                  <w:r>
                    <w:rPr>
                      <w:color w:val="auto"/>
                      <w:szCs w:val="21"/>
                    </w:rPr>
                    <w:t>的非道路移动机械。</w:t>
                  </w:r>
                </w:p>
              </w:tc>
              <w:tc>
                <w:tcPr>
                  <w:tcW w:w="955" w:type="dxa"/>
                  <w:vAlign w:val="center"/>
                </w:tcPr>
                <w:p>
                  <w:pPr>
                    <w:spacing w:line="300" w:lineRule="atLeast"/>
                    <w:jc w:val="center"/>
                    <w:rPr>
                      <w:color w:val="auto"/>
                      <w:szCs w:val="21"/>
                    </w:rPr>
                  </w:pPr>
                  <w:r>
                    <w:rPr>
                      <w:rFonts w:hint="eastAsia"/>
                      <w:color w:val="auto"/>
                      <w:szCs w:val="21"/>
                    </w:rPr>
                    <w:t>符合</w:t>
                  </w:r>
                </w:p>
              </w:tc>
            </w:tr>
          </w:tbl>
          <w:p>
            <w:pPr>
              <w:spacing w:line="360" w:lineRule="auto"/>
              <w:ind w:firstLine="482" w:firstLineChars="200"/>
              <w:rPr>
                <w:b/>
                <w:bCs/>
                <w:color w:val="auto"/>
                <w:sz w:val="24"/>
              </w:rPr>
            </w:pPr>
            <w:r>
              <w:rPr>
                <w:rFonts w:hint="eastAsia"/>
                <w:b/>
                <w:bCs/>
                <w:color w:val="auto"/>
                <w:sz w:val="24"/>
              </w:rPr>
              <w:t>10、项目与《陕西省大气污染治理专项行动方案》的符合性分析</w:t>
            </w:r>
          </w:p>
          <w:p>
            <w:pPr>
              <w:spacing w:line="360" w:lineRule="auto"/>
              <w:ind w:firstLine="480" w:firstLineChars="200"/>
              <w:rPr>
                <w:color w:val="auto"/>
                <w:sz w:val="24"/>
              </w:rPr>
            </w:pPr>
            <w:r>
              <w:rPr>
                <w:rFonts w:hint="eastAsia"/>
                <w:color w:val="auto"/>
                <w:sz w:val="24"/>
              </w:rPr>
              <w:t>项目与《陕西省大气污染治理专项行动方案（2023-2027年）》</w:t>
            </w:r>
            <w:r>
              <w:rPr>
                <w:rFonts w:hint="eastAsia"/>
                <w:color w:val="auto"/>
                <w:szCs w:val="21"/>
              </w:rPr>
              <w:t>(陕发[2023]4号)</w:t>
            </w:r>
            <w:r>
              <w:rPr>
                <w:rFonts w:hint="eastAsia"/>
                <w:color w:val="auto"/>
                <w:sz w:val="24"/>
              </w:rPr>
              <w:t>的符合性分析详见表1-10。</w:t>
            </w:r>
          </w:p>
          <w:p>
            <w:pPr>
              <w:spacing w:line="360" w:lineRule="auto"/>
              <w:jc w:val="center"/>
              <w:rPr>
                <w:rFonts w:eastAsia="黑体"/>
                <w:color w:val="auto"/>
                <w:szCs w:val="21"/>
              </w:rPr>
            </w:pPr>
            <w:r>
              <w:rPr>
                <w:rFonts w:hint="eastAsia" w:eastAsia="黑体"/>
                <w:color w:val="auto"/>
                <w:szCs w:val="21"/>
              </w:rPr>
              <w:t xml:space="preserve">表1-10 </w:t>
            </w:r>
            <w:r>
              <w:rPr>
                <w:rFonts w:eastAsia="黑体"/>
                <w:color w:val="auto"/>
                <w:szCs w:val="21"/>
              </w:rPr>
              <w:t>项目与</w:t>
            </w:r>
            <w:r>
              <w:rPr>
                <w:rFonts w:hint="eastAsia" w:eastAsia="黑体"/>
                <w:color w:val="auto"/>
                <w:szCs w:val="21"/>
              </w:rPr>
              <w:t>《陕西省大气污染治理专项行动方案》</w:t>
            </w:r>
            <w:r>
              <w:rPr>
                <w:rFonts w:eastAsia="黑体"/>
                <w:color w:val="auto"/>
                <w:szCs w:val="21"/>
              </w:rPr>
              <w:t>的符合性分析</w:t>
            </w:r>
          </w:p>
          <w:tbl>
            <w:tblPr>
              <w:tblStyle w:val="34"/>
              <w:tblW w:w="7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18"/>
              <w:gridCol w:w="3265"/>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05" w:type="dxa"/>
                  <w:vAlign w:val="center"/>
                </w:tcPr>
                <w:p>
                  <w:pPr>
                    <w:adjustRightInd w:val="0"/>
                    <w:snapToGrid w:val="0"/>
                    <w:ind w:left="-63" w:leftChars="-30" w:right="-63" w:rightChars="-30"/>
                    <w:jc w:val="center"/>
                    <w:rPr>
                      <w:color w:val="auto"/>
                      <w:szCs w:val="21"/>
                    </w:rPr>
                  </w:pPr>
                  <w:r>
                    <w:rPr>
                      <w:color w:val="auto"/>
                      <w:szCs w:val="21"/>
                    </w:rPr>
                    <w:t>序号</w:t>
                  </w:r>
                </w:p>
              </w:tc>
              <w:tc>
                <w:tcPr>
                  <w:tcW w:w="2618" w:type="dxa"/>
                  <w:vAlign w:val="center"/>
                </w:tcPr>
                <w:p>
                  <w:pPr>
                    <w:adjustRightInd w:val="0"/>
                    <w:snapToGrid w:val="0"/>
                    <w:ind w:left="-63" w:leftChars="-30" w:right="-63" w:rightChars="-30"/>
                    <w:jc w:val="center"/>
                    <w:rPr>
                      <w:color w:val="auto"/>
                      <w:szCs w:val="21"/>
                    </w:rPr>
                  </w:pPr>
                  <w:r>
                    <w:rPr>
                      <w:rFonts w:hint="eastAsia"/>
                      <w:color w:val="auto"/>
                      <w:szCs w:val="21"/>
                    </w:rPr>
                    <w:t>文件</w:t>
                  </w:r>
                  <w:r>
                    <w:rPr>
                      <w:color w:val="auto"/>
                      <w:szCs w:val="21"/>
                    </w:rPr>
                    <w:t>要求</w:t>
                  </w:r>
                </w:p>
              </w:tc>
              <w:tc>
                <w:tcPr>
                  <w:tcW w:w="3265" w:type="dxa"/>
                  <w:vAlign w:val="center"/>
                </w:tcPr>
                <w:p>
                  <w:pPr>
                    <w:adjustRightInd w:val="0"/>
                    <w:snapToGrid w:val="0"/>
                    <w:ind w:left="-63" w:leftChars="-30" w:right="-63" w:rightChars="-30"/>
                    <w:jc w:val="center"/>
                    <w:rPr>
                      <w:color w:val="auto"/>
                      <w:szCs w:val="21"/>
                    </w:rPr>
                  </w:pPr>
                  <w:r>
                    <w:rPr>
                      <w:color w:val="auto"/>
                      <w:szCs w:val="21"/>
                    </w:rPr>
                    <w:t>本项目情况</w:t>
                  </w:r>
                </w:p>
              </w:tc>
              <w:tc>
                <w:tcPr>
                  <w:tcW w:w="955" w:type="dxa"/>
                  <w:vAlign w:val="center"/>
                </w:tcPr>
                <w:p>
                  <w:pPr>
                    <w:adjustRightInd w:val="0"/>
                    <w:snapToGrid w:val="0"/>
                    <w:ind w:left="-63" w:leftChars="-30" w:right="-63" w:rightChars="-30"/>
                    <w:jc w:val="center"/>
                    <w:rPr>
                      <w:color w:val="auto"/>
                      <w:szCs w:val="21"/>
                    </w:rPr>
                  </w:pPr>
                  <w:r>
                    <w:rPr>
                      <w:rFonts w:hint="eastAsia"/>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5" w:type="dxa"/>
                  <w:vAlign w:val="center"/>
                </w:tcPr>
                <w:p>
                  <w:pPr>
                    <w:adjustRightInd w:val="0"/>
                    <w:snapToGrid w:val="0"/>
                    <w:ind w:left="-63" w:leftChars="-30" w:right="-63" w:rightChars="-30"/>
                    <w:jc w:val="center"/>
                    <w:rPr>
                      <w:color w:val="auto"/>
                      <w:szCs w:val="21"/>
                    </w:rPr>
                  </w:pPr>
                  <w:r>
                    <w:rPr>
                      <w:color w:val="auto"/>
                      <w:szCs w:val="21"/>
                    </w:rPr>
                    <w:t>1</w:t>
                  </w:r>
                </w:p>
              </w:tc>
              <w:tc>
                <w:tcPr>
                  <w:tcW w:w="2618" w:type="dxa"/>
                  <w:vAlign w:val="center"/>
                </w:tcPr>
                <w:p>
                  <w:pPr>
                    <w:adjustRightInd w:val="0"/>
                    <w:snapToGrid w:val="0"/>
                    <w:ind w:left="-63" w:leftChars="-30" w:right="-63" w:rightChars="-30"/>
                    <w:jc w:val="left"/>
                    <w:rPr>
                      <w:color w:val="auto"/>
                      <w:szCs w:val="21"/>
                    </w:rPr>
                  </w:pPr>
                  <w:r>
                    <w:rPr>
                      <w:rFonts w:hint="eastAsia"/>
                      <w:color w:val="auto"/>
                      <w:szCs w:val="21"/>
                    </w:rPr>
                    <w:t>三、重点任务</w:t>
                  </w:r>
                </w:p>
                <w:p>
                  <w:pPr>
                    <w:adjustRightInd w:val="0"/>
                    <w:snapToGrid w:val="0"/>
                    <w:ind w:left="-63" w:leftChars="-30" w:right="-63" w:rightChars="-30"/>
                    <w:jc w:val="left"/>
                    <w:rPr>
                      <w:color w:val="auto"/>
                      <w:szCs w:val="21"/>
                    </w:rPr>
                  </w:pPr>
                  <w:r>
                    <w:rPr>
                      <w:rFonts w:hint="eastAsia"/>
                      <w:color w:val="auto"/>
                      <w:szCs w:val="21"/>
                    </w:rPr>
                    <w:t>（一）推动四大结构调整</w:t>
                  </w:r>
                </w:p>
                <w:p>
                  <w:pPr>
                    <w:adjustRightInd w:val="0"/>
                    <w:snapToGrid w:val="0"/>
                    <w:ind w:left="-63" w:leftChars="-30" w:right="-63" w:rightChars="-30"/>
                    <w:jc w:val="left"/>
                    <w:rPr>
                      <w:color w:val="auto"/>
                      <w:szCs w:val="21"/>
                    </w:rPr>
                  </w:pPr>
                  <w:r>
                    <w:rPr>
                      <w:rFonts w:hint="eastAsia"/>
                      <w:color w:val="auto"/>
                      <w:szCs w:val="21"/>
                    </w:rPr>
                    <w:t>4.交通运输结构调整。榆林市、延安市、咸阳市等煤炭主产区大型工矿企业中长距离运输（运距500公里以上）的煤炭和焦炭中，铁路运输比例力争达到90%。</w:t>
                  </w:r>
                </w:p>
              </w:tc>
              <w:tc>
                <w:tcPr>
                  <w:tcW w:w="3265" w:type="dxa"/>
                  <w:vAlign w:val="center"/>
                </w:tcPr>
                <w:p>
                  <w:pPr>
                    <w:adjustRightInd w:val="0"/>
                    <w:snapToGrid w:val="0"/>
                    <w:ind w:left="-63" w:leftChars="-30" w:right="-63" w:rightChars="-30"/>
                    <w:jc w:val="center"/>
                    <w:rPr>
                      <w:color w:val="auto"/>
                      <w:szCs w:val="21"/>
                    </w:rPr>
                  </w:pPr>
                  <w:r>
                    <w:rPr>
                      <w:color w:val="auto"/>
                      <w:szCs w:val="21"/>
                    </w:rPr>
                    <w:t>本项目位于榆林市，</w:t>
                  </w:r>
                  <w:r>
                    <w:rPr>
                      <w:rFonts w:hint="eastAsia"/>
                      <w:color w:val="auto"/>
                      <w:szCs w:val="21"/>
                    </w:rPr>
                    <w:t>进站原水均</w:t>
                  </w:r>
                  <w:r>
                    <w:rPr>
                      <w:color w:val="auto"/>
                      <w:szCs w:val="21"/>
                    </w:rPr>
                    <w:t>来自</w:t>
                  </w:r>
                  <w:r>
                    <w:rPr>
                      <w:rFonts w:hint="eastAsia"/>
                      <w:color w:val="auto"/>
                      <w:szCs w:val="21"/>
                    </w:rPr>
                    <w:t>定边采油厂本</w:t>
                  </w:r>
                  <w:r>
                    <w:rPr>
                      <w:color w:val="auto"/>
                      <w:szCs w:val="21"/>
                    </w:rPr>
                    <w:t>企业，运距远小于500</w:t>
                  </w:r>
                  <w:r>
                    <w:rPr>
                      <w:rFonts w:hint="eastAsia"/>
                      <w:color w:val="auto"/>
                      <w:szCs w:val="21"/>
                    </w:rPr>
                    <w:t>公里，采用车辆封闭运输。</w:t>
                  </w:r>
                </w:p>
              </w:tc>
              <w:tc>
                <w:tcPr>
                  <w:tcW w:w="955" w:type="dxa"/>
                  <w:vAlign w:val="center"/>
                </w:tcPr>
                <w:p>
                  <w:pPr>
                    <w:adjustRightInd w:val="0"/>
                    <w:snapToGrid w:val="0"/>
                    <w:ind w:left="-63" w:leftChars="-30" w:right="-63" w:rightChars="-30"/>
                    <w:jc w:val="center"/>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5" w:type="dxa"/>
                  <w:vAlign w:val="center"/>
                </w:tcPr>
                <w:p>
                  <w:pPr>
                    <w:adjustRightInd w:val="0"/>
                    <w:snapToGrid w:val="0"/>
                    <w:ind w:left="-63" w:leftChars="-30" w:right="-63" w:rightChars="-30"/>
                    <w:jc w:val="center"/>
                    <w:rPr>
                      <w:color w:val="auto"/>
                      <w:szCs w:val="21"/>
                    </w:rPr>
                  </w:pPr>
                  <w:r>
                    <w:rPr>
                      <w:rFonts w:hint="eastAsia"/>
                      <w:color w:val="auto"/>
                      <w:szCs w:val="21"/>
                    </w:rPr>
                    <w:t>2</w:t>
                  </w:r>
                </w:p>
              </w:tc>
              <w:tc>
                <w:tcPr>
                  <w:tcW w:w="2618" w:type="dxa"/>
                  <w:vAlign w:val="center"/>
                </w:tcPr>
                <w:p>
                  <w:pPr>
                    <w:adjustRightInd w:val="0"/>
                    <w:snapToGrid w:val="0"/>
                    <w:ind w:left="-63" w:leftChars="-30" w:right="-63" w:rightChars="-30"/>
                    <w:jc w:val="left"/>
                    <w:rPr>
                      <w:color w:val="auto"/>
                      <w:szCs w:val="21"/>
                    </w:rPr>
                  </w:pPr>
                  <w:r>
                    <w:rPr>
                      <w:rFonts w:hint="eastAsia"/>
                      <w:color w:val="auto"/>
                      <w:szCs w:val="21"/>
                    </w:rPr>
                    <w:t>三、重点任务</w:t>
                  </w:r>
                </w:p>
                <w:p>
                  <w:pPr>
                    <w:adjustRightInd w:val="0"/>
                    <w:snapToGrid w:val="0"/>
                    <w:ind w:left="-63" w:leftChars="-30" w:right="-63" w:rightChars="-30"/>
                    <w:jc w:val="left"/>
                    <w:rPr>
                      <w:color w:val="auto"/>
                      <w:szCs w:val="21"/>
                    </w:rPr>
                  </w:pPr>
                  <w:r>
                    <w:rPr>
                      <w:rFonts w:hint="eastAsia"/>
                      <w:color w:val="auto"/>
                      <w:szCs w:val="21"/>
                    </w:rPr>
                    <w:t>（二）实施五大治理工程</w:t>
                  </w:r>
                </w:p>
                <w:p>
                  <w:pPr>
                    <w:adjustRightInd w:val="0"/>
                    <w:snapToGrid w:val="0"/>
                    <w:ind w:left="-63" w:leftChars="-30" w:right="-63" w:rightChars="-30"/>
                    <w:jc w:val="left"/>
                    <w:rPr>
                      <w:color w:val="auto"/>
                      <w:szCs w:val="21"/>
                    </w:rPr>
                  </w:pPr>
                  <w:r>
                    <w:rPr>
                      <w:rFonts w:hint="eastAsia"/>
                      <w:color w:val="auto"/>
                      <w:szCs w:val="21"/>
                    </w:rPr>
                    <w:t>7.车辆优化工程。强化非道路移动机械排放控制区管控，到2025年不符合第三阶段和在用非道路移动机械排放标准三类限值的机械禁止使用，具备条件的可更换国四及以上排放标准的发动机。</w:t>
                  </w:r>
                </w:p>
              </w:tc>
              <w:tc>
                <w:tcPr>
                  <w:tcW w:w="3265" w:type="dxa"/>
                  <w:vAlign w:val="center"/>
                </w:tcPr>
                <w:p>
                  <w:pPr>
                    <w:adjustRightInd w:val="0"/>
                    <w:snapToGrid w:val="0"/>
                    <w:ind w:left="-63" w:leftChars="-30" w:right="-63" w:rightChars="-30"/>
                    <w:jc w:val="center"/>
                    <w:rPr>
                      <w:color w:val="auto"/>
                      <w:szCs w:val="21"/>
                    </w:rPr>
                  </w:pPr>
                  <w:r>
                    <w:rPr>
                      <w:rFonts w:hint="eastAsia"/>
                      <w:color w:val="auto"/>
                      <w:szCs w:val="21"/>
                    </w:rPr>
                    <w:t>本项目对非道路移动机械进行采购时，根据发动机类型，优先选用安装有壁流式颗粒物补集器(DPF)、选择性催化还原装置(SCR)、氧化型催化转化器(OC)等机内净化装置，确保非道路移动机械废气排放能满足《非道路移动机械用柴油排气污染物排放限值及测量方法(中国第三、四阶段)》(GB20891-2014)及修改单要求</w:t>
                  </w:r>
                  <w:r>
                    <w:rPr>
                      <w:color w:val="auto"/>
                      <w:szCs w:val="21"/>
                    </w:rPr>
                    <w:t>中限值</w:t>
                  </w:r>
                  <w:r>
                    <w:rPr>
                      <w:rFonts w:hint="eastAsia"/>
                      <w:color w:val="auto"/>
                      <w:szCs w:val="21"/>
                    </w:rPr>
                    <w:t>要求</w:t>
                  </w:r>
                  <w:r>
                    <w:rPr>
                      <w:color w:val="auto"/>
                      <w:szCs w:val="21"/>
                    </w:rPr>
                    <w:t>。</w:t>
                  </w:r>
                </w:p>
              </w:tc>
              <w:tc>
                <w:tcPr>
                  <w:tcW w:w="955" w:type="dxa"/>
                  <w:vAlign w:val="center"/>
                </w:tcPr>
                <w:p>
                  <w:pPr>
                    <w:adjustRightInd w:val="0"/>
                    <w:snapToGrid w:val="0"/>
                    <w:ind w:left="-63" w:leftChars="-30" w:right="-63" w:rightChars="-30"/>
                    <w:jc w:val="center"/>
                    <w:rPr>
                      <w:color w:val="auto"/>
                      <w:szCs w:val="21"/>
                    </w:rPr>
                  </w:pPr>
                  <w:r>
                    <w:rPr>
                      <w:color w:val="auto"/>
                      <w:szCs w:val="21"/>
                    </w:rPr>
                    <w:t>符合</w:t>
                  </w:r>
                </w:p>
              </w:tc>
            </w:tr>
          </w:tbl>
          <w:p>
            <w:pPr>
              <w:spacing w:line="360" w:lineRule="auto"/>
              <w:ind w:firstLine="482" w:firstLineChars="200"/>
              <w:rPr>
                <w:b/>
                <w:bCs/>
                <w:color w:val="auto"/>
                <w:sz w:val="24"/>
              </w:rPr>
            </w:pPr>
            <w:r>
              <w:rPr>
                <w:rFonts w:hint="eastAsia"/>
                <w:b/>
                <w:bCs/>
                <w:color w:val="auto"/>
                <w:sz w:val="24"/>
              </w:rPr>
              <w:t>11、项目与《榆林市大气污染治理专项行动方案（2023-2027年）》的符合性分析</w:t>
            </w:r>
          </w:p>
          <w:p>
            <w:pPr>
              <w:spacing w:line="360" w:lineRule="auto"/>
              <w:ind w:firstLine="480" w:firstLineChars="200"/>
              <w:rPr>
                <w:color w:val="auto"/>
                <w:sz w:val="24"/>
              </w:rPr>
            </w:pPr>
            <w:r>
              <w:rPr>
                <w:rFonts w:hint="eastAsia"/>
                <w:color w:val="auto"/>
                <w:sz w:val="24"/>
              </w:rPr>
              <w:t>项目与《榆林市大气污染治理专项行动方案（2023-2027年）》（榆发〔2023〕3号）的符合性分析详见表1-11。</w:t>
            </w:r>
          </w:p>
          <w:p>
            <w:pPr>
              <w:spacing w:line="360" w:lineRule="auto"/>
              <w:jc w:val="center"/>
              <w:rPr>
                <w:rFonts w:eastAsia="黑体"/>
                <w:color w:val="auto"/>
                <w:szCs w:val="21"/>
              </w:rPr>
            </w:pPr>
            <w:r>
              <w:rPr>
                <w:rFonts w:hint="eastAsia" w:eastAsia="黑体"/>
                <w:color w:val="auto"/>
                <w:szCs w:val="21"/>
              </w:rPr>
              <w:t xml:space="preserve">表1-11 </w:t>
            </w:r>
            <w:r>
              <w:rPr>
                <w:rFonts w:eastAsia="黑体"/>
                <w:color w:val="auto"/>
                <w:szCs w:val="21"/>
              </w:rPr>
              <w:t>项目与《</w:t>
            </w:r>
            <w:r>
              <w:rPr>
                <w:rFonts w:hint="eastAsia" w:eastAsia="黑体"/>
                <w:color w:val="auto"/>
                <w:szCs w:val="21"/>
              </w:rPr>
              <w:t>榆林市大气污染治理专项行动方案（2023-2027年）</w:t>
            </w:r>
            <w:r>
              <w:rPr>
                <w:rFonts w:eastAsia="黑体"/>
                <w:color w:val="auto"/>
                <w:szCs w:val="21"/>
              </w:rPr>
              <w:t>》的符合性分析</w:t>
            </w:r>
          </w:p>
          <w:tbl>
            <w:tblPr>
              <w:tblStyle w:val="34"/>
              <w:tblW w:w="7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139"/>
              <w:gridCol w:w="2744"/>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05" w:type="dxa"/>
                  <w:vAlign w:val="center"/>
                </w:tcPr>
                <w:p>
                  <w:pPr>
                    <w:adjustRightInd w:val="0"/>
                    <w:snapToGrid w:val="0"/>
                    <w:ind w:left="-63" w:leftChars="-30" w:right="-63" w:rightChars="-30"/>
                    <w:jc w:val="center"/>
                    <w:rPr>
                      <w:color w:val="auto"/>
                      <w:szCs w:val="21"/>
                    </w:rPr>
                  </w:pPr>
                  <w:r>
                    <w:rPr>
                      <w:rFonts w:hint="eastAsia"/>
                      <w:color w:val="auto"/>
                      <w:szCs w:val="21"/>
                    </w:rPr>
                    <w:t>序号</w:t>
                  </w:r>
                </w:p>
              </w:tc>
              <w:tc>
                <w:tcPr>
                  <w:tcW w:w="3139" w:type="dxa"/>
                  <w:vAlign w:val="center"/>
                </w:tcPr>
                <w:p>
                  <w:pPr>
                    <w:adjustRightInd w:val="0"/>
                    <w:snapToGrid w:val="0"/>
                    <w:ind w:left="-63" w:leftChars="-30" w:right="-63" w:rightChars="-30"/>
                    <w:jc w:val="center"/>
                    <w:rPr>
                      <w:color w:val="auto"/>
                      <w:szCs w:val="21"/>
                    </w:rPr>
                  </w:pPr>
                  <w:r>
                    <w:rPr>
                      <w:rFonts w:hint="eastAsia"/>
                      <w:color w:val="auto"/>
                      <w:szCs w:val="21"/>
                    </w:rPr>
                    <w:t>文件要求</w:t>
                  </w:r>
                </w:p>
              </w:tc>
              <w:tc>
                <w:tcPr>
                  <w:tcW w:w="2744" w:type="dxa"/>
                  <w:vAlign w:val="center"/>
                </w:tcPr>
                <w:p>
                  <w:pPr>
                    <w:adjustRightInd w:val="0"/>
                    <w:snapToGrid w:val="0"/>
                    <w:ind w:left="-63" w:leftChars="-30" w:right="-63" w:rightChars="-30"/>
                    <w:jc w:val="center"/>
                    <w:rPr>
                      <w:color w:val="auto"/>
                      <w:szCs w:val="21"/>
                    </w:rPr>
                  </w:pPr>
                  <w:r>
                    <w:rPr>
                      <w:rFonts w:hint="eastAsia"/>
                      <w:color w:val="auto"/>
                      <w:szCs w:val="21"/>
                    </w:rPr>
                    <w:t>本项目情况</w:t>
                  </w:r>
                </w:p>
              </w:tc>
              <w:tc>
                <w:tcPr>
                  <w:tcW w:w="955" w:type="dxa"/>
                  <w:vAlign w:val="center"/>
                </w:tcPr>
                <w:p>
                  <w:pPr>
                    <w:adjustRightInd w:val="0"/>
                    <w:snapToGrid w:val="0"/>
                    <w:ind w:left="-63" w:leftChars="-30" w:right="-63" w:rightChars="-30"/>
                    <w:jc w:val="center"/>
                    <w:rPr>
                      <w:color w:val="auto"/>
                      <w:szCs w:val="21"/>
                    </w:rPr>
                  </w:pPr>
                  <w:r>
                    <w:rPr>
                      <w:rFonts w:hint="eastAsia"/>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5" w:type="dxa"/>
                  <w:vAlign w:val="center"/>
                </w:tcPr>
                <w:p>
                  <w:pPr>
                    <w:adjustRightInd w:val="0"/>
                    <w:snapToGrid w:val="0"/>
                    <w:ind w:left="-63" w:leftChars="-30" w:right="-63" w:rightChars="-30"/>
                    <w:jc w:val="center"/>
                    <w:rPr>
                      <w:color w:val="auto"/>
                      <w:szCs w:val="21"/>
                    </w:rPr>
                  </w:pPr>
                  <w:r>
                    <w:rPr>
                      <w:rFonts w:hint="eastAsia"/>
                      <w:color w:val="auto"/>
                      <w:szCs w:val="21"/>
                    </w:rPr>
                    <w:t>1</w:t>
                  </w:r>
                </w:p>
              </w:tc>
              <w:tc>
                <w:tcPr>
                  <w:tcW w:w="3139" w:type="dxa"/>
                  <w:vAlign w:val="center"/>
                </w:tcPr>
                <w:p>
                  <w:pPr>
                    <w:adjustRightInd w:val="0"/>
                    <w:snapToGrid w:val="0"/>
                    <w:ind w:left="-63" w:leftChars="-30" w:right="-63" w:rightChars="-30"/>
                    <w:jc w:val="center"/>
                    <w:rPr>
                      <w:color w:val="auto"/>
                      <w:szCs w:val="21"/>
                    </w:rPr>
                  </w:pPr>
                  <w:r>
                    <w:rPr>
                      <w:rFonts w:hint="eastAsia"/>
                      <w:color w:val="auto"/>
                      <w:szCs w:val="21"/>
                    </w:rPr>
                    <w:t>强化扬尘污染防治。</w:t>
                  </w:r>
                  <w:r>
                    <w:rPr>
                      <w:color w:val="auto"/>
                      <w:szCs w:val="21"/>
                    </w:rPr>
                    <w:t>落实《榆林市扬尘污染防治条例》，强化建筑工地、裸露土地、城市道路、涉煤企业、运煤专线等扬尘污染管控。施工场地严格执行</w:t>
                  </w:r>
                  <w:r>
                    <w:rPr>
                      <w:rFonts w:hint="eastAsia"/>
                      <w:color w:val="auto"/>
                      <w:szCs w:val="21"/>
                    </w:rPr>
                    <w:t>“</w:t>
                  </w:r>
                  <w:r>
                    <w:rPr>
                      <w:color w:val="auto"/>
                      <w:szCs w:val="21"/>
                    </w:rPr>
                    <w:t>六个百分之百</w:t>
                  </w:r>
                  <w:r>
                    <w:rPr>
                      <w:rFonts w:hint="eastAsia"/>
                      <w:color w:val="auto"/>
                      <w:szCs w:val="21"/>
                    </w:rPr>
                    <w:t>”</w:t>
                  </w:r>
                  <w:r>
                    <w:rPr>
                      <w:color w:val="auto"/>
                      <w:szCs w:val="21"/>
                    </w:rPr>
                    <w:t>要求。</w:t>
                  </w:r>
                </w:p>
              </w:tc>
              <w:tc>
                <w:tcPr>
                  <w:tcW w:w="2744" w:type="dxa"/>
                  <w:vAlign w:val="center"/>
                </w:tcPr>
                <w:p>
                  <w:pPr>
                    <w:adjustRightInd w:val="0"/>
                    <w:snapToGrid w:val="0"/>
                    <w:ind w:left="-63" w:leftChars="-30" w:right="-63" w:rightChars="-30"/>
                    <w:jc w:val="center"/>
                    <w:rPr>
                      <w:color w:val="auto"/>
                      <w:szCs w:val="21"/>
                    </w:rPr>
                  </w:pPr>
                  <w:r>
                    <w:rPr>
                      <w:rFonts w:hint="eastAsia"/>
                      <w:color w:val="auto"/>
                      <w:szCs w:val="21"/>
                    </w:rPr>
                    <w:t>环评要求建设单位</w:t>
                  </w:r>
                  <w:r>
                    <w:rPr>
                      <w:color w:val="auto"/>
                      <w:szCs w:val="21"/>
                    </w:rPr>
                    <w:t>严格</w:t>
                  </w:r>
                  <w:r>
                    <w:rPr>
                      <w:rFonts w:hint="eastAsia"/>
                      <w:color w:val="auto"/>
                      <w:szCs w:val="21"/>
                    </w:rPr>
                    <w:t>落实</w:t>
                  </w:r>
                  <w:r>
                    <w:rPr>
                      <w:color w:val="auto"/>
                      <w:szCs w:val="21"/>
                    </w:rPr>
                    <w:t>《榆林市扬尘污染防治条例》，强化建筑工地、裸露土地、城市道路、涉煤企业、运煤专线等扬尘污染管控</w:t>
                  </w:r>
                  <w:r>
                    <w:rPr>
                      <w:rFonts w:hint="eastAsia"/>
                      <w:color w:val="auto"/>
                      <w:szCs w:val="21"/>
                    </w:rPr>
                    <w:t>。</w:t>
                  </w:r>
                  <w:r>
                    <w:rPr>
                      <w:color w:val="auto"/>
                      <w:szCs w:val="21"/>
                    </w:rPr>
                    <w:t>施工场地</w:t>
                  </w:r>
                  <w:r>
                    <w:rPr>
                      <w:rFonts w:hint="eastAsia"/>
                      <w:color w:val="auto"/>
                      <w:szCs w:val="21"/>
                    </w:rPr>
                    <w:t>做到“</w:t>
                  </w:r>
                  <w:r>
                    <w:rPr>
                      <w:color w:val="auto"/>
                      <w:szCs w:val="21"/>
                    </w:rPr>
                    <w:t>六个百分之百</w:t>
                  </w:r>
                  <w:r>
                    <w:rPr>
                      <w:rFonts w:hint="eastAsia"/>
                      <w:color w:val="auto"/>
                      <w:szCs w:val="21"/>
                    </w:rPr>
                    <w:t>”。</w:t>
                  </w:r>
                </w:p>
              </w:tc>
              <w:tc>
                <w:tcPr>
                  <w:tcW w:w="955" w:type="dxa"/>
                  <w:vAlign w:val="center"/>
                </w:tcPr>
                <w:p>
                  <w:pPr>
                    <w:adjustRightInd w:val="0"/>
                    <w:snapToGrid w:val="0"/>
                    <w:ind w:left="-63" w:leftChars="-30" w:right="-63" w:rightChars="-30"/>
                    <w:jc w:val="center"/>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05" w:type="dxa"/>
                  <w:vAlign w:val="center"/>
                </w:tcPr>
                <w:p>
                  <w:pPr>
                    <w:adjustRightInd w:val="0"/>
                    <w:snapToGrid w:val="0"/>
                    <w:ind w:left="-63" w:leftChars="-30" w:right="-63" w:rightChars="-30"/>
                    <w:jc w:val="center"/>
                    <w:rPr>
                      <w:color w:val="auto"/>
                      <w:szCs w:val="21"/>
                    </w:rPr>
                  </w:pPr>
                  <w:r>
                    <w:rPr>
                      <w:rFonts w:hint="eastAsia"/>
                      <w:color w:val="auto"/>
                      <w:szCs w:val="21"/>
                    </w:rPr>
                    <w:t>2</w:t>
                  </w:r>
                </w:p>
              </w:tc>
              <w:tc>
                <w:tcPr>
                  <w:tcW w:w="3139" w:type="dxa"/>
                  <w:vAlign w:val="center"/>
                </w:tcPr>
                <w:p>
                  <w:pPr>
                    <w:adjustRightInd w:val="0"/>
                    <w:snapToGrid w:val="0"/>
                    <w:ind w:left="-63" w:leftChars="-30" w:right="-63" w:rightChars="-30"/>
                    <w:jc w:val="center"/>
                    <w:rPr>
                      <w:color w:val="auto"/>
                      <w:szCs w:val="21"/>
                    </w:rPr>
                  </w:pPr>
                  <w:r>
                    <w:rPr>
                      <w:rFonts w:hint="eastAsia"/>
                      <w:color w:val="auto"/>
                      <w:szCs w:val="21"/>
                    </w:rPr>
                    <w:t>划定高排放非道路移动机械禁止使用区域，制定并实施划定高排放非道路移动机械禁止使用区域，制定并实施相关配套政策措施。全市行政区域内禁止未编码挂牌及检测不合格的非道路移动机械使用。</w:t>
                  </w:r>
                </w:p>
              </w:tc>
              <w:tc>
                <w:tcPr>
                  <w:tcW w:w="2744" w:type="dxa"/>
                  <w:vAlign w:val="center"/>
                </w:tcPr>
                <w:p>
                  <w:pPr>
                    <w:adjustRightInd w:val="0"/>
                    <w:snapToGrid w:val="0"/>
                    <w:ind w:left="-63" w:leftChars="-30" w:right="-63" w:rightChars="-30"/>
                    <w:jc w:val="center"/>
                    <w:rPr>
                      <w:color w:val="auto"/>
                      <w:szCs w:val="21"/>
                    </w:rPr>
                  </w:pPr>
                  <w:r>
                    <w:rPr>
                      <w:rFonts w:hint="eastAsia"/>
                      <w:color w:val="auto"/>
                      <w:szCs w:val="21"/>
                    </w:rPr>
                    <w:t>项目施工现场禁止使用高排放非道路移动机械，禁止使用未编码登记挂牌及检测不合格的非道路移动机械。</w:t>
                  </w:r>
                </w:p>
              </w:tc>
              <w:tc>
                <w:tcPr>
                  <w:tcW w:w="955" w:type="dxa"/>
                  <w:vAlign w:val="center"/>
                </w:tcPr>
                <w:p>
                  <w:pPr>
                    <w:adjustRightInd w:val="0"/>
                    <w:snapToGrid w:val="0"/>
                    <w:ind w:left="-63" w:leftChars="-30" w:right="-63" w:rightChars="-30"/>
                    <w:jc w:val="center"/>
                    <w:rPr>
                      <w:color w:val="auto"/>
                      <w:szCs w:val="21"/>
                    </w:rPr>
                  </w:pPr>
                  <w:r>
                    <w:rPr>
                      <w:rFonts w:hint="eastAsia"/>
                      <w:color w:val="auto"/>
                      <w:szCs w:val="21"/>
                    </w:rPr>
                    <w:t>符合</w:t>
                  </w:r>
                </w:p>
              </w:tc>
            </w:tr>
          </w:tbl>
          <w:p>
            <w:pPr>
              <w:pStyle w:val="9"/>
              <w:ind w:firstLine="180"/>
              <w:rPr>
                <w:color w:val="auto"/>
              </w:rPr>
            </w:pPr>
          </w:p>
        </w:tc>
      </w:tr>
    </w:tbl>
    <w:p>
      <w:pPr>
        <w:spacing w:line="360" w:lineRule="auto"/>
        <w:outlineLvl w:val="0"/>
        <w:rPr>
          <w:rFonts w:eastAsia="黑体"/>
          <w:color w:val="auto"/>
          <w:sz w:val="30"/>
        </w:rPr>
        <w:sectPr>
          <w:footerReference r:id="rId6" w:type="default"/>
          <w:pgSz w:w="11906" w:h="16838"/>
          <w:pgMar w:top="1701" w:right="1531" w:bottom="1701" w:left="1531" w:header="851" w:footer="850" w:gutter="0"/>
          <w:pgNumType w:start="1"/>
          <w:cols w:space="720" w:num="1"/>
          <w:docGrid w:linePitch="312" w:charSpace="0"/>
        </w:sectPr>
      </w:pPr>
    </w:p>
    <w:p>
      <w:pPr>
        <w:pStyle w:val="3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p>
    <w:tbl>
      <w:tblPr>
        <w:tblStyle w:val="3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8"/>
        <w:gridCol w:w="83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8" w:type="dxa"/>
            <w:vAlign w:val="center"/>
          </w:tcPr>
          <w:p>
            <w:pPr>
              <w:pStyle w:val="30"/>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339" w:type="dxa"/>
          </w:tcPr>
          <w:p>
            <w:pPr>
              <w:spacing w:line="360" w:lineRule="auto"/>
              <w:ind w:firstLine="480"/>
              <w:rPr>
                <w:rFonts w:eastAsia="Calibri"/>
                <w:b/>
                <w:bCs/>
                <w:color w:val="auto"/>
                <w:sz w:val="24"/>
              </w:rPr>
            </w:pPr>
            <w:r>
              <w:rPr>
                <w:rFonts w:hint="eastAsia"/>
                <w:b/>
                <w:bCs/>
                <w:color w:val="auto"/>
                <w:sz w:val="24"/>
              </w:rPr>
              <w:t>1、</w:t>
            </w:r>
            <w:r>
              <w:rPr>
                <w:b/>
                <w:bCs/>
                <w:color w:val="auto"/>
                <w:sz w:val="24"/>
              </w:rPr>
              <w:t>项目</w:t>
            </w:r>
            <w:r>
              <w:rPr>
                <w:rFonts w:hint="eastAsia"/>
                <w:b/>
                <w:bCs/>
                <w:color w:val="auto"/>
                <w:sz w:val="24"/>
              </w:rPr>
              <w:t>建设背景</w:t>
            </w:r>
          </w:p>
          <w:p>
            <w:pPr>
              <w:spacing w:line="360" w:lineRule="auto"/>
              <w:ind w:firstLine="480"/>
              <w:rPr>
                <w:rFonts w:hint="default" w:eastAsia="宋体"/>
                <w:color w:val="auto"/>
                <w:sz w:val="24"/>
                <w:lang w:val="en-US" w:eastAsia="zh-CN"/>
              </w:rPr>
            </w:pPr>
            <w:r>
              <w:rPr>
                <w:rFonts w:hint="eastAsia"/>
                <w:color w:val="auto"/>
                <w:sz w:val="24"/>
              </w:rPr>
              <w:t>延长油田股份有限公司定边采油厂始建于1993年，2005年9月重组入陕西延长石油（集团）有限责任公司，主要从事石油勘探、开发、运销和井下作业等业务。定边采油厂下设</w:t>
            </w:r>
            <w:r>
              <w:rPr>
                <w:color w:val="auto"/>
                <w:sz w:val="24"/>
              </w:rPr>
              <w:t>五兴庄</w:t>
            </w:r>
            <w:r>
              <w:rPr>
                <w:rFonts w:hint="eastAsia"/>
                <w:color w:val="auto"/>
                <w:sz w:val="24"/>
              </w:rPr>
              <w:t>、东仁沟、白马崾岘等12个采油大队，包括22个开发区，累积探明石油地质储量3.58亿t，探明含油面积857.7km</w:t>
            </w:r>
            <w:r>
              <w:rPr>
                <w:rFonts w:hint="eastAsia"/>
                <w:color w:val="auto"/>
                <w:sz w:val="24"/>
                <w:vertAlign w:val="superscript"/>
              </w:rPr>
              <w:t>2</w:t>
            </w:r>
            <w:r>
              <w:rPr>
                <w:rFonts w:hint="eastAsia"/>
                <w:color w:val="auto"/>
                <w:sz w:val="24"/>
              </w:rPr>
              <w:t>，动用石油地质储量3.26亿t，动用含油面积761.4km</w:t>
            </w:r>
            <w:r>
              <w:rPr>
                <w:rFonts w:hint="eastAsia"/>
                <w:color w:val="auto"/>
                <w:sz w:val="24"/>
                <w:vertAlign w:val="superscript"/>
              </w:rPr>
              <w:t>2</w:t>
            </w:r>
            <w:r>
              <w:rPr>
                <w:rFonts w:hint="eastAsia"/>
                <w:color w:val="auto"/>
                <w:sz w:val="24"/>
              </w:rPr>
              <w:t>。截止目前，全厂总井数9883口，其中油井7931口，开井5268口，日产污水9694m</w:t>
            </w:r>
            <w:r>
              <w:rPr>
                <w:rFonts w:hint="eastAsia"/>
                <w:color w:val="auto"/>
                <w:sz w:val="24"/>
                <w:vertAlign w:val="superscript"/>
              </w:rPr>
              <w:t>3</w:t>
            </w:r>
            <w:r>
              <w:rPr>
                <w:rFonts w:hint="eastAsia"/>
                <w:color w:val="auto"/>
                <w:sz w:val="24"/>
              </w:rPr>
              <w:t>。注水井1952口，开井1783口，日配注量为15124m</w:t>
            </w:r>
            <w:r>
              <w:rPr>
                <w:rFonts w:hint="eastAsia"/>
                <w:color w:val="auto"/>
                <w:sz w:val="24"/>
                <w:vertAlign w:val="superscript"/>
              </w:rPr>
              <w:t>3</w:t>
            </w:r>
            <w:r>
              <w:rPr>
                <w:rFonts w:hint="eastAsia"/>
                <w:color w:val="auto"/>
                <w:sz w:val="24"/>
              </w:rPr>
              <w:t>，日注水量为13337.9m</w:t>
            </w:r>
            <w:r>
              <w:rPr>
                <w:rFonts w:hint="eastAsia"/>
                <w:color w:val="auto"/>
                <w:sz w:val="24"/>
                <w:vertAlign w:val="superscript"/>
              </w:rPr>
              <w:t>3</w:t>
            </w:r>
            <w:r>
              <w:rPr>
                <w:rFonts w:hint="eastAsia"/>
                <w:color w:val="auto"/>
                <w:sz w:val="24"/>
              </w:rPr>
              <w:t>。</w:t>
            </w:r>
            <w:r>
              <w:rPr>
                <w:rFonts w:hint="eastAsia"/>
                <w:color w:val="auto"/>
                <w:sz w:val="24"/>
                <w:lang w:val="en-US" w:eastAsia="zh-CN"/>
              </w:rPr>
              <w:t>定边采油厂总体布置见附图15。</w:t>
            </w:r>
          </w:p>
          <w:p>
            <w:pPr>
              <w:spacing w:line="360" w:lineRule="auto"/>
              <w:ind w:firstLine="48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油田投入开发后，随着开采时间的增长，油层本身能量不断被消耗，致使油层压力不断下降，油井产量大大减少，为弥补原油采出后所造成的地下亏空，保持或提高油层压力，须对油田进行注水。故本次拟在</w:t>
            </w:r>
            <w:r>
              <w:rPr>
                <w:rFonts w:hint="default" w:ascii="Times New Roman" w:hAnsi="Times New Roman" w:eastAsia="宋体" w:cs="Times New Roman"/>
                <w:color w:val="auto"/>
                <w:sz w:val="24"/>
                <w:lang w:val="en-US" w:eastAsia="zh-CN"/>
              </w:rPr>
              <w:t>2511</w:t>
            </w:r>
            <w:r>
              <w:rPr>
                <w:rFonts w:hint="eastAsia" w:ascii="Times New Roman" w:hAnsi="Times New Roman" w:eastAsia="宋体" w:cs="Times New Roman"/>
                <w:color w:val="auto"/>
                <w:sz w:val="24"/>
                <w:lang w:val="en-US" w:eastAsia="zh-CN"/>
              </w:rPr>
              <w:t>站场、</w:t>
            </w:r>
            <w:r>
              <w:rPr>
                <w:rFonts w:hint="default" w:ascii="Times New Roman" w:hAnsi="Times New Roman" w:eastAsia="宋体" w:cs="Times New Roman"/>
                <w:color w:val="auto"/>
                <w:sz w:val="24"/>
                <w:lang w:val="en-US" w:eastAsia="zh-CN"/>
              </w:rPr>
              <w:t>3270</w:t>
            </w:r>
            <w:r>
              <w:rPr>
                <w:rFonts w:hint="eastAsia" w:ascii="Times New Roman" w:hAnsi="Times New Roman" w:eastAsia="宋体" w:cs="Times New Roman"/>
                <w:color w:val="auto"/>
                <w:sz w:val="24"/>
                <w:lang w:val="en-US" w:eastAsia="zh-CN"/>
              </w:rPr>
              <w:t>站场和4926-4站场共建设3套300m³/d的移动式撬装污水处理站。本项目不仅能处理采出水，也可提高部分区块的油井产量。本项目进水为经油、气、水三相分离器分离后的水，本项目</w:t>
            </w:r>
            <w:r>
              <w:rPr>
                <w:rFonts w:hint="default" w:ascii="Times New Roman" w:hAnsi="Times New Roman" w:eastAsia="宋体" w:cs="Times New Roman"/>
                <w:color w:val="auto"/>
                <w:sz w:val="24"/>
                <w:lang w:val="en-US" w:eastAsia="zh-CN"/>
              </w:rPr>
              <w:t>2511</w:t>
            </w:r>
            <w:r>
              <w:rPr>
                <w:rFonts w:hint="eastAsia" w:ascii="Times New Roman" w:hAnsi="Times New Roman" w:eastAsia="宋体" w:cs="Times New Roman"/>
                <w:color w:val="auto"/>
                <w:sz w:val="24"/>
                <w:lang w:val="en-US" w:eastAsia="zh-CN"/>
              </w:rPr>
              <w:t>处理站、</w:t>
            </w:r>
            <w:r>
              <w:rPr>
                <w:rFonts w:hint="default" w:ascii="Times New Roman" w:hAnsi="Times New Roman" w:eastAsia="宋体" w:cs="Times New Roman"/>
                <w:color w:val="auto"/>
                <w:sz w:val="24"/>
                <w:lang w:val="en-US" w:eastAsia="zh-CN"/>
              </w:rPr>
              <w:t>3270</w:t>
            </w:r>
            <w:r>
              <w:rPr>
                <w:rFonts w:hint="eastAsia" w:ascii="Times New Roman" w:hAnsi="Times New Roman" w:eastAsia="宋体" w:cs="Times New Roman"/>
                <w:color w:val="auto"/>
                <w:sz w:val="24"/>
                <w:lang w:val="en-US" w:eastAsia="zh-CN"/>
              </w:rPr>
              <w:t>处理站、4926-4处理站的收水范围分别为东仁沟采油队韩渠油区、五兴庄采油队五兴庄油区、白马崾岘采油队小涧湾油区内油水分离后产生的采出水，处理后回注范围分别为东仁沟采油队韩渠油区、五兴庄采油队五兴庄油区、白马崾岘采油队小涧湾油区内的注水井。</w:t>
            </w:r>
          </w:p>
          <w:p>
            <w:pPr>
              <w:spacing w:line="360" w:lineRule="auto"/>
              <w:ind w:firstLine="480"/>
              <w:rPr>
                <w:rFonts w:hint="eastAsia" w:cs="Times New Roman"/>
                <w:color w:val="auto"/>
                <w:sz w:val="24"/>
                <w:lang w:val="en-US" w:eastAsia="zh-CN"/>
              </w:rPr>
            </w:pPr>
            <w:r>
              <w:rPr>
                <w:rFonts w:hint="eastAsia" w:ascii="Times New Roman" w:hAnsi="Times New Roman" w:eastAsia="宋体" w:cs="Times New Roman"/>
                <w:color w:val="auto"/>
                <w:sz w:val="24"/>
                <w:lang w:val="en-US" w:eastAsia="zh-CN"/>
              </w:rPr>
              <w:t>延长油田股份有限公司在油田开发工作会以及“三年注水大会战”工作推进会等会议上一直强调油田开发注水提倡“分类排队、梯次推进”的原则，针对采出水处理站提出：“以分散对分散”、“分散与集中”相结合的治理思路。延长油田股份有限公司定边采油厂油区实行滚动开发，在滚动开发过程中，随着对地下储油情况等认识的逐步加深，开发部署方案也不断进行针对性的调整，尤其在油区边部，调整变化较多，当后续油区开发方案变动时，采出水量也将发生变化。</w:t>
            </w:r>
          </w:p>
          <w:p>
            <w:pPr>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为了适应油区开发方案的调整导致的油井采出水量不断变化导致的采水处理站收水范围及处理量的变化，避免采出水处理站设备服务期内使用时间较短或超负荷运行</w:t>
            </w:r>
            <w:r>
              <w:rPr>
                <w:rFonts w:hint="eastAsia" w:cs="Times New Roman"/>
                <w:color w:val="auto"/>
                <w:sz w:val="24"/>
                <w:lang w:val="en-US" w:eastAsia="zh-CN"/>
              </w:rPr>
              <w:t>。</w:t>
            </w:r>
            <w:r>
              <w:rPr>
                <w:rFonts w:hint="eastAsia"/>
                <w:color w:val="auto"/>
                <w:sz w:val="24"/>
              </w:rPr>
              <w:t>视上述3个油区后续开发情况将3套300m³/d的处理站设备在上述3个站场内移动。</w:t>
            </w:r>
          </w:p>
          <w:p>
            <w:pPr>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根据陕西宇阳石油科技工程有限公司提供的可研和设计资料可知，由于</w:t>
            </w:r>
            <w:r>
              <w:rPr>
                <w:rFonts w:hint="eastAsia" w:cs="Times New Roman"/>
                <w:color w:val="auto"/>
                <w:sz w:val="24"/>
                <w:lang w:val="en-US" w:eastAsia="zh-CN"/>
              </w:rPr>
              <w:t>站场</w:t>
            </w:r>
            <w:r>
              <w:rPr>
                <w:rFonts w:hint="eastAsia" w:ascii="Times New Roman" w:hAnsi="Times New Roman" w:eastAsia="宋体" w:cs="Times New Roman"/>
                <w:color w:val="auto"/>
                <w:sz w:val="24"/>
                <w:lang w:val="en-US" w:eastAsia="zh-CN"/>
              </w:rPr>
              <w:t>面积有限，本项目的2511</w:t>
            </w:r>
            <w:r>
              <w:rPr>
                <w:rFonts w:hint="eastAsia" w:cs="Times New Roman"/>
                <w:color w:val="auto"/>
                <w:sz w:val="24"/>
                <w:lang w:val="en-US" w:eastAsia="zh-CN"/>
              </w:rPr>
              <w:t>站场</w:t>
            </w:r>
            <w:r>
              <w:rPr>
                <w:rFonts w:hint="eastAsia" w:ascii="Times New Roman" w:hAnsi="Times New Roman" w:eastAsia="宋体" w:cs="Times New Roman"/>
                <w:color w:val="auto"/>
                <w:sz w:val="24"/>
                <w:lang w:val="en-US" w:eastAsia="zh-CN"/>
              </w:rPr>
              <w:t>和3270</w:t>
            </w:r>
            <w:r>
              <w:rPr>
                <w:rFonts w:hint="eastAsia" w:cs="Times New Roman"/>
                <w:color w:val="auto"/>
                <w:sz w:val="24"/>
                <w:lang w:val="en-US" w:eastAsia="zh-CN"/>
              </w:rPr>
              <w:t>站场</w:t>
            </w:r>
            <w:r>
              <w:rPr>
                <w:rFonts w:hint="eastAsia" w:ascii="Times New Roman" w:hAnsi="Times New Roman" w:eastAsia="宋体" w:cs="Times New Roman"/>
                <w:color w:val="auto"/>
                <w:sz w:val="24"/>
                <w:lang w:val="en-US" w:eastAsia="zh-CN"/>
              </w:rPr>
              <w:t>最大可容纳600m³/d的移动式撬装污水处理站，4926-4</w:t>
            </w:r>
            <w:r>
              <w:rPr>
                <w:rFonts w:hint="eastAsia" w:cs="Times New Roman"/>
                <w:color w:val="auto"/>
                <w:sz w:val="24"/>
                <w:lang w:val="en-US" w:eastAsia="zh-CN"/>
              </w:rPr>
              <w:t>站场</w:t>
            </w:r>
            <w:r>
              <w:rPr>
                <w:rFonts w:hint="eastAsia" w:ascii="Times New Roman" w:hAnsi="Times New Roman" w:eastAsia="宋体" w:cs="Times New Roman"/>
                <w:color w:val="auto"/>
                <w:sz w:val="24"/>
                <w:lang w:val="en-US" w:eastAsia="zh-CN"/>
              </w:rPr>
              <w:t>场地面积最大可容纳300m³/d的移动式撬装污水处理站。</w:t>
            </w:r>
          </w:p>
          <w:p>
            <w:pPr>
              <w:spacing w:line="360" w:lineRule="auto"/>
              <w:ind w:firstLine="48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影响采出水处理站规模的主要构筑物和设备主要为缓冲水箱、净化水箱、三级污水处理撬（含一级加药装置撬、二级净化处理装置撬、三级过滤装置撬）。考虑到300m³/d和600m³/d的一级加药装置撬和二级净化处理装置撬占地规模相差不大，也为了减少后续设备移动，本次3个处理站均采用处理规模为600m³/d的一级加药装置撬和二级净化处理装置撬。故本次300m³/d和600m³/d处理站主要不同设备为缓冲水箱、净化水箱、三级过滤装置撬。</w:t>
            </w:r>
            <w:r>
              <w:rPr>
                <w:rFonts w:hint="eastAsia" w:ascii="Times New Roman" w:hAnsi="Times New Roman" w:eastAsia="宋体" w:cs="Times New Roman"/>
                <w:color w:val="auto"/>
                <w:sz w:val="24"/>
                <w:lang w:val="en-US" w:eastAsia="zh-CN"/>
              </w:rPr>
              <w:t>600m³/d处理站仅比300m³/d的处理站多2个缓冲水箱、2个净化水箱、1个三级过滤装置撬，若后续移动时将上述3种设备移动即可。</w:t>
            </w:r>
            <w:r>
              <w:rPr>
                <w:rFonts w:hint="eastAsia" w:ascii="Times New Roman" w:hAnsi="Times New Roman" w:eastAsia="宋体" w:cs="Times New Roman"/>
                <w:color w:val="auto"/>
                <w:sz w:val="24"/>
                <w:lang w:val="en-US" w:eastAsia="zh-CN"/>
              </w:rPr>
              <w:t>本项目仅在2511站、3270站、4926-4站3个处理站内进行拉运。</w:t>
            </w:r>
          </w:p>
          <w:p>
            <w:pPr>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次采用的撬装站设备较简易、站点占地较小，生产管理较方便、运行成本较低，适应性较强，当油区发生调整变化时，仅将撬装设备拉运至新站即可，本次涉及的站场均位于山坡和沟底（黄土塬和黄土梁峁上），交通便利，对原站影响可降至最小。</w:t>
            </w:r>
          </w:p>
          <w:p>
            <w:pPr>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本工程涉及东仁沟采油队、</w:t>
            </w:r>
            <w:r>
              <w:rPr>
                <w:rFonts w:hint="default" w:ascii="Times New Roman" w:hAnsi="Times New Roman" w:eastAsia="宋体" w:cs="Times New Roman"/>
                <w:color w:val="auto"/>
                <w:sz w:val="24"/>
                <w:lang w:val="en-US" w:eastAsia="zh-CN"/>
              </w:rPr>
              <w:t>五兴庄</w:t>
            </w:r>
            <w:r>
              <w:rPr>
                <w:rFonts w:hint="eastAsia" w:ascii="Times New Roman" w:hAnsi="Times New Roman" w:eastAsia="宋体" w:cs="Times New Roman"/>
                <w:color w:val="auto"/>
                <w:sz w:val="24"/>
                <w:lang w:val="en-US" w:eastAsia="zh-CN"/>
              </w:rPr>
              <w:t>采油队和白马崾岘采油队新建移动式撬装污水处理站，</w:t>
            </w:r>
            <w:r>
              <w:rPr>
                <w:rFonts w:hint="eastAsia" w:ascii="Times New Roman" w:hAnsi="Times New Roman" w:eastAsia="宋体" w:cs="Times New Roman"/>
                <w:color w:val="auto"/>
                <w:sz w:val="24"/>
                <w:lang w:val="en-US" w:eastAsia="zh-CN"/>
              </w:rPr>
              <w:t>涉及的</w:t>
            </w:r>
            <w:r>
              <w:rPr>
                <w:rFonts w:hint="default" w:ascii="Times New Roman" w:hAnsi="Times New Roman" w:eastAsia="宋体" w:cs="Times New Roman"/>
                <w:color w:val="auto"/>
                <w:sz w:val="24"/>
                <w:lang w:val="en-US" w:eastAsia="zh-CN"/>
              </w:rPr>
              <w:t>2511</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3270</w:t>
            </w:r>
            <w:r>
              <w:rPr>
                <w:rFonts w:hint="eastAsia" w:ascii="Times New Roman" w:hAnsi="Times New Roman" w:eastAsia="宋体" w:cs="Times New Roman"/>
                <w:color w:val="auto"/>
                <w:sz w:val="24"/>
                <w:lang w:val="en-US" w:eastAsia="zh-CN"/>
              </w:rPr>
              <w:t>和4926-4共3个</w:t>
            </w:r>
            <w:r>
              <w:rPr>
                <w:rFonts w:hint="eastAsia" w:cs="Times New Roman"/>
                <w:color w:val="auto"/>
                <w:sz w:val="24"/>
                <w:lang w:val="en-US" w:eastAsia="zh-CN"/>
              </w:rPr>
              <w:t>站场</w:t>
            </w:r>
            <w:r>
              <w:rPr>
                <w:rFonts w:hint="eastAsia" w:ascii="Times New Roman" w:hAnsi="Times New Roman" w:eastAsia="宋体" w:cs="Times New Roman"/>
                <w:color w:val="auto"/>
                <w:sz w:val="24"/>
                <w:lang w:val="en-US" w:eastAsia="zh-CN"/>
              </w:rPr>
              <w:t>目前均无采出水处理站，3个</w:t>
            </w:r>
            <w:r>
              <w:rPr>
                <w:rFonts w:hint="eastAsia" w:cs="Times New Roman"/>
                <w:color w:val="auto"/>
                <w:sz w:val="24"/>
                <w:lang w:val="en-US" w:eastAsia="zh-CN"/>
              </w:rPr>
              <w:t>站场</w:t>
            </w:r>
            <w:r>
              <w:rPr>
                <w:rFonts w:hint="eastAsia" w:ascii="Times New Roman" w:hAnsi="Times New Roman" w:eastAsia="宋体" w:cs="Times New Roman"/>
                <w:color w:val="auto"/>
                <w:sz w:val="24"/>
                <w:lang w:val="en-US" w:eastAsia="zh-CN"/>
              </w:rPr>
              <w:t>所在的油区有采出水处理站。</w:t>
            </w:r>
            <w:r>
              <w:rPr>
                <w:rFonts w:hint="eastAsia" w:ascii="Times New Roman" w:hAnsi="Times New Roman" w:eastAsia="宋体" w:cs="Times New Roman"/>
                <w:color w:val="auto"/>
                <w:sz w:val="24"/>
                <w:lang w:val="en-US" w:eastAsia="zh-CN"/>
              </w:rPr>
              <w:t>3个</w:t>
            </w:r>
            <w:r>
              <w:rPr>
                <w:rFonts w:hint="eastAsia" w:cs="Times New Roman"/>
                <w:color w:val="auto"/>
                <w:sz w:val="24"/>
                <w:lang w:val="en-US" w:eastAsia="zh-CN"/>
              </w:rPr>
              <w:t>站场</w:t>
            </w:r>
            <w:r>
              <w:rPr>
                <w:rFonts w:hint="eastAsia" w:ascii="Times New Roman" w:hAnsi="Times New Roman" w:eastAsia="宋体" w:cs="Times New Roman"/>
                <w:color w:val="auto"/>
                <w:sz w:val="24"/>
                <w:lang w:val="en-US" w:eastAsia="zh-CN"/>
              </w:rPr>
              <w:t>内现状主要为工作人员办公和生活区，还有少量废弃设施。</w:t>
            </w:r>
          </w:p>
          <w:p>
            <w:pPr>
              <w:spacing w:line="360" w:lineRule="auto"/>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东仁沟采油队采出水处理站可处理油区处理需求，</w:t>
            </w:r>
            <w:r>
              <w:rPr>
                <w:rFonts w:hint="eastAsia" w:ascii="Times New Roman" w:hAnsi="Times New Roman" w:eastAsia="宋体" w:cs="Times New Roman"/>
                <w:color w:val="auto"/>
                <w:sz w:val="24"/>
                <w:lang w:val="en-US" w:eastAsia="zh-CN"/>
              </w:rPr>
              <w:t>但油区近期规划的大斜度井全部投产后预估日产水在1100m³左右，故新建采出水处理站</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五兴庄</w:t>
            </w:r>
            <w:r>
              <w:rPr>
                <w:rFonts w:hint="eastAsia" w:ascii="Times New Roman" w:hAnsi="Times New Roman" w:eastAsia="宋体" w:cs="Times New Roman"/>
                <w:color w:val="auto"/>
                <w:sz w:val="24"/>
                <w:lang w:val="en-US" w:eastAsia="zh-CN"/>
              </w:rPr>
              <w:t>采油队现有300m³采出水拉运至卜掌输转站、定3131污水处理站处理，白马</w:t>
            </w:r>
            <w:r>
              <w:rPr>
                <w:rFonts w:hint="eastAsia" w:cs="Times New Roman"/>
                <w:color w:val="auto"/>
                <w:sz w:val="24"/>
                <w:lang w:val="en-US" w:eastAsia="zh-CN"/>
              </w:rPr>
              <w:t>崾岘</w:t>
            </w:r>
            <w:r>
              <w:rPr>
                <w:rFonts w:hint="eastAsia" w:ascii="Times New Roman" w:hAnsi="Times New Roman" w:eastAsia="宋体" w:cs="Times New Roman"/>
                <w:color w:val="auto"/>
                <w:sz w:val="24"/>
                <w:lang w:val="en-US" w:eastAsia="zh-CN"/>
              </w:rPr>
              <w:t>采油队现有154m³采出水运至定4092处理站处理，因拉运距离远，水处理费用居高不下，为了降低拉运费用，实现降本增效，现拟新建采出水处理站。</w:t>
            </w:r>
          </w:p>
          <w:p>
            <w:pPr>
              <w:spacing w:line="360" w:lineRule="auto"/>
              <w:ind w:firstLine="480"/>
              <w:rPr>
                <w:color w:val="auto"/>
                <w:sz w:val="24"/>
              </w:rPr>
            </w:pPr>
            <w:r>
              <w:rPr>
                <w:rFonts w:hint="eastAsia" w:ascii="Times New Roman" w:hAnsi="Times New Roman" w:eastAsia="宋体" w:cs="Times New Roman"/>
                <w:color w:val="auto"/>
                <w:sz w:val="24"/>
                <w:lang w:val="en-US" w:eastAsia="zh-CN"/>
              </w:rPr>
              <w:t>本项目不包括注水管线和注水井等注水工程，仅包括3</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300m³/d移动式污水处理站污水处理相关工程。本项目仅处理采出水，不处理压裂返排液及其他作业废水。本项目仅适用于处理定边采油厂污水，严禁处理其他单位其他废水。</w:t>
            </w:r>
            <w:r>
              <w:rPr>
                <w:rFonts w:hint="eastAsia" w:ascii="Times New Roman" w:hAnsi="Times New Roman" w:eastAsia="宋体" w:cs="Times New Roman"/>
                <w:color w:val="auto"/>
                <w:sz w:val="24"/>
                <w:lang w:val="en-US" w:eastAsia="zh-CN"/>
              </w:rPr>
              <w:t>本项目涉及的3个拟建采出水处理站的油区、</w:t>
            </w:r>
            <w:r>
              <w:rPr>
                <w:rFonts w:hint="eastAsia" w:cs="Times New Roman"/>
                <w:color w:val="auto"/>
                <w:sz w:val="24"/>
                <w:lang w:val="en-US" w:eastAsia="zh-CN"/>
              </w:rPr>
              <w:t>站场</w:t>
            </w:r>
            <w:r>
              <w:rPr>
                <w:rFonts w:hint="eastAsia" w:ascii="Times New Roman" w:hAnsi="Times New Roman" w:eastAsia="宋体" w:cs="Times New Roman"/>
                <w:color w:val="auto"/>
                <w:sz w:val="24"/>
                <w:lang w:val="en-US" w:eastAsia="zh-CN"/>
              </w:rPr>
              <w:t>水处理现状及规划情况见表2-1。</w:t>
            </w:r>
          </w:p>
          <w:p>
            <w:pPr>
              <w:pStyle w:val="82"/>
              <w:snapToGrid w:val="0"/>
              <w:spacing w:line="360" w:lineRule="auto"/>
              <w:ind w:firstLine="0" w:firstLineChars="0"/>
              <w:jc w:val="center"/>
              <w:rPr>
                <w:rFonts w:ascii="Times New Roman" w:hAnsi="Times New Roman" w:eastAsia="黑体"/>
                <w:color w:val="auto"/>
              </w:rPr>
            </w:pPr>
            <w:r>
              <w:rPr>
                <w:rFonts w:ascii="Times New Roman" w:hAnsi="Times New Roman" w:eastAsia="黑体"/>
                <w:color w:val="auto"/>
              </w:rPr>
              <w:t>表</w:t>
            </w:r>
            <w:r>
              <w:rPr>
                <w:rFonts w:hint="eastAsia" w:ascii="Times New Roman" w:hAnsi="Times New Roman" w:eastAsia="黑体"/>
                <w:color w:val="auto"/>
              </w:rPr>
              <w:t>2-1  3个拟建的污水处理站厂址现状一览表</w:t>
            </w:r>
          </w:p>
          <w:tbl>
            <w:tblPr>
              <w:tblStyle w:val="35"/>
              <w:tblW w:w="8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047"/>
              <w:gridCol w:w="945"/>
              <w:gridCol w:w="855"/>
              <w:gridCol w:w="930"/>
              <w:gridCol w:w="990"/>
              <w:gridCol w:w="143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902"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污水处理站</w:t>
                  </w:r>
                  <w:r>
                    <w:rPr>
                      <w:color w:val="auto"/>
                      <w:sz w:val="21"/>
                      <w:szCs w:val="21"/>
                    </w:rPr>
                    <w:t>名称</w:t>
                  </w:r>
                </w:p>
              </w:tc>
              <w:tc>
                <w:tcPr>
                  <w:tcW w:w="1047"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所属油区</w:t>
                  </w:r>
                </w:p>
              </w:tc>
              <w:tc>
                <w:tcPr>
                  <w:tcW w:w="945" w:type="dxa"/>
                  <w:vAlign w:val="center"/>
                </w:tcPr>
                <w:p>
                  <w:pPr>
                    <w:pStyle w:val="12"/>
                    <w:adjustRightInd w:val="0"/>
                    <w:snapToGrid w:val="0"/>
                    <w:spacing w:after="0"/>
                    <w:ind w:left="0" w:leftChars="0"/>
                    <w:jc w:val="center"/>
                    <w:rPr>
                      <w:color w:val="auto"/>
                      <w:sz w:val="21"/>
                      <w:szCs w:val="21"/>
                    </w:rPr>
                  </w:pPr>
                  <w:r>
                    <w:rPr>
                      <w:color w:val="auto"/>
                      <w:sz w:val="21"/>
                      <w:szCs w:val="21"/>
                    </w:rPr>
                    <w:t>建设地点</w:t>
                  </w:r>
                </w:p>
              </w:tc>
              <w:tc>
                <w:tcPr>
                  <w:tcW w:w="855"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附近采出水处理站</w:t>
                  </w:r>
                </w:p>
              </w:tc>
              <w:tc>
                <w:tcPr>
                  <w:tcW w:w="930"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附近</w:t>
                  </w:r>
                  <w:r>
                    <w:rPr>
                      <w:rFonts w:hint="eastAsia"/>
                      <w:color w:val="auto"/>
                      <w:sz w:val="21"/>
                      <w:szCs w:val="21"/>
                    </w:rPr>
                    <w:t>现日产水规模</w:t>
                  </w:r>
                </w:p>
              </w:tc>
              <w:tc>
                <w:tcPr>
                  <w:tcW w:w="990"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附近</w:t>
                  </w:r>
                  <w:r>
                    <w:rPr>
                      <w:rFonts w:hint="eastAsia"/>
                      <w:color w:val="auto"/>
                      <w:sz w:val="21"/>
                      <w:szCs w:val="21"/>
                    </w:rPr>
                    <w:t>现水处理能力</w:t>
                  </w:r>
                </w:p>
              </w:tc>
              <w:tc>
                <w:tcPr>
                  <w:tcW w:w="1432"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附近</w:t>
                  </w:r>
                  <w:r>
                    <w:rPr>
                      <w:rFonts w:hint="eastAsia"/>
                      <w:color w:val="auto"/>
                      <w:sz w:val="21"/>
                      <w:szCs w:val="21"/>
                    </w:rPr>
                    <w:t>现</w:t>
                  </w:r>
                </w:p>
                <w:p>
                  <w:pPr>
                    <w:pStyle w:val="12"/>
                    <w:adjustRightInd w:val="0"/>
                    <w:snapToGrid w:val="0"/>
                    <w:spacing w:after="0"/>
                    <w:ind w:left="0" w:leftChars="0"/>
                    <w:jc w:val="center"/>
                    <w:rPr>
                      <w:color w:val="auto"/>
                      <w:sz w:val="21"/>
                      <w:szCs w:val="21"/>
                    </w:rPr>
                  </w:pPr>
                  <w:r>
                    <w:rPr>
                      <w:rFonts w:hint="eastAsia"/>
                      <w:color w:val="auto"/>
                      <w:sz w:val="21"/>
                      <w:szCs w:val="21"/>
                    </w:rPr>
                    <w:t>采出水</w:t>
                  </w:r>
                </w:p>
                <w:p>
                  <w:pPr>
                    <w:pStyle w:val="12"/>
                    <w:adjustRightInd w:val="0"/>
                    <w:snapToGrid w:val="0"/>
                    <w:spacing w:after="0"/>
                    <w:ind w:left="0" w:leftChars="0"/>
                    <w:jc w:val="center"/>
                    <w:rPr>
                      <w:color w:val="auto"/>
                      <w:sz w:val="21"/>
                      <w:szCs w:val="21"/>
                    </w:rPr>
                  </w:pPr>
                  <w:r>
                    <w:rPr>
                      <w:rFonts w:hint="eastAsia"/>
                      <w:color w:val="auto"/>
                      <w:sz w:val="21"/>
                      <w:szCs w:val="21"/>
                    </w:rPr>
                    <w:t>处理方式</w:t>
                  </w:r>
                </w:p>
              </w:tc>
              <w:tc>
                <w:tcPr>
                  <w:tcW w:w="1072"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附近</w:t>
                  </w:r>
                  <w:r>
                    <w:rPr>
                      <w:rFonts w:hint="eastAsia"/>
                      <w:color w:val="auto"/>
                      <w:sz w:val="21"/>
                      <w:szCs w:val="21"/>
                    </w:rPr>
                    <w:t>近期估算采出水规模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902" w:type="dxa"/>
                  <w:vAlign w:val="center"/>
                </w:tcPr>
                <w:p>
                  <w:pPr>
                    <w:pStyle w:val="12"/>
                    <w:adjustRightInd w:val="0"/>
                    <w:snapToGrid w:val="0"/>
                    <w:spacing w:after="0"/>
                    <w:ind w:left="0" w:leftChars="0"/>
                    <w:jc w:val="center"/>
                    <w:rPr>
                      <w:color w:val="auto"/>
                      <w:sz w:val="21"/>
                      <w:szCs w:val="21"/>
                    </w:rPr>
                  </w:pPr>
                  <w:r>
                    <w:rPr>
                      <w:color w:val="auto"/>
                      <w:sz w:val="21"/>
                      <w:szCs w:val="21"/>
                    </w:rPr>
                    <w:t>2511</w:t>
                  </w:r>
                  <w:r>
                    <w:rPr>
                      <w:rFonts w:hint="eastAsia"/>
                      <w:color w:val="auto"/>
                      <w:sz w:val="21"/>
                      <w:szCs w:val="21"/>
                    </w:rPr>
                    <w:t>污水处理站</w:t>
                  </w:r>
                </w:p>
              </w:tc>
              <w:tc>
                <w:tcPr>
                  <w:tcW w:w="1047"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东仁沟采油队韩渠油区</w:t>
                  </w:r>
                </w:p>
              </w:tc>
              <w:tc>
                <w:tcPr>
                  <w:tcW w:w="945" w:type="dxa"/>
                  <w:vAlign w:val="center"/>
                </w:tcPr>
                <w:p>
                  <w:pPr>
                    <w:pStyle w:val="12"/>
                    <w:adjustRightInd w:val="0"/>
                    <w:snapToGrid w:val="0"/>
                    <w:spacing w:after="0"/>
                    <w:ind w:left="0" w:leftChars="0"/>
                    <w:jc w:val="center"/>
                    <w:rPr>
                      <w:color w:val="auto"/>
                      <w:sz w:val="21"/>
                      <w:szCs w:val="21"/>
                    </w:rPr>
                  </w:pPr>
                  <w:r>
                    <w:rPr>
                      <w:color w:val="auto"/>
                      <w:sz w:val="21"/>
                      <w:szCs w:val="21"/>
                    </w:rPr>
                    <w:t>定边县</w:t>
                  </w:r>
                  <w:r>
                    <w:rPr>
                      <w:rFonts w:hint="eastAsia"/>
                      <w:color w:val="auto"/>
                      <w:sz w:val="21"/>
                      <w:szCs w:val="21"/>
                    </w:rPr>
                    <w:t>油房庄乡</w:t>
                  </w:r>
                  <w:r>
                    <w:rPr>
                      <w:color w:val="auto"/>
                      <w:sz w:val="21"/>
                      <w:szCs w:val="21"/>
                    </w:rPr>
                    <w:t>韩渠</w:t>
                  </w:r>
                  <w:r>
                    <w:rPr>
                      <w:rFonts w:hint="eastAsia"/>
                      <w:color w:val="auto"/>
                      <w:sz w:val="21"/>
                      <w:szCs w:val="21"/>
                    </w:rPr>
                    <w:t>村</w:t>
                  </w:r>
                </w:p>
              </w:tc>
              <w:tc>
                <w:tcPr>
                  <w:tcW w:w="855"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2座（定2642站、韩渠集输站）</w:t>
                  </w:r>
                </w:p>
              </w:tc>
              <w:tc>
                <w:tcPr>
                  <w:tcW w:w="930"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525m³/d</w:t>
                  </w:r>
                </w:p>
              </w:tc>
              <w:tc>
                <w:tcPr>
                  <w:tcW w:w="990"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900m³/d</w:t>
                  </w:r>
                </w:p>
              </w:tc>
              <w:tc>
                <w:tcPr>
                  <w:tcW w:w="1432"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自行处理</w:t>
                  </w:r>
                </w:p>
              </w:tc>
              <w:tc>
                <w:tcPr>
                  <w:tcW w:w="1072"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1100m³/d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902" w:type="dxa"/>
                  <w:vAlign w:val="center"/>
                </w:tcPr>
                <w:p>
                  <w:pPr>
                    <w:pStyle w:val="12"/>
                    <w:adjustRightInd w:val="0"/>
                    <w:snapToGrid w:val="0"/>
                    <w:spacing w:after="0"/>
                    <w:ind w:left="0" w:leftChars="0"/>
                    <w:jc w:val="center"/>
                    <w:rPr>
                      <w:color w:val="auto"/>
                      <w:sz w:val="21"/>
                      <w:szCs w:val="21"/>
                    </w:rPr>
                  </w:pPr>
                  <w:r>
                    <w:rPr>
                      <w:color w:val="auto"/>
                      <w:sz w:val="21"/>
                      <w:szCs w:val="21"/>
                    </w:rPr>
                    <w:t>3270</w:t>
                  </w:r>
                  <w:r>
                    <w:rPr>
                      <w:rFonts w:hint="eastAsia"/>
                      <w:color w:val="auto"/>
                      <w:sz w:val="21"/>
                      <w:szCs w:val="21"/>
                    </w:rPr>
                    <w:t>污水处理站</w:t>
                  </w:r>
                </w:p>
              </w:tc>
              <w:tc>
                <w:tcPr>
                  <w:tcW w:w="1047"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五兴庄采油队五兴庄油区</w:t>
                  </w:r>
                </w:p>
              </w:tc>
              <w:tc>
                <w:tcPr>
                  <w:tcW w:w="945" w:type="dxa"/>
                  <w:vAlign w:val="center"/>
                </w:tcPr>
                <w:p>
                  <w:pPr>
                    <w:pStyle w:val="12"/>
                    <w:adjustRightInd w:val="0"/>
                    <w:snapToGrid w:val="0"/>
                    <w:spacing w:after="0"/>
                    <w:ind w:left="0" w:leftChars="0"/>
                    <w:jc w:val="center"/>
                    <w:rPr>
                      <w:color w:val="auto"/>
                      <w:sz w:val="21"/>
                      <w:szCs w:val="21"/>
                    </w:rPr>
                  </w:pPr>
                  <w:r>
                    <w:rPr>
                      <w:color w:val="auto"/>
                      <w:sz w:val="21"/>
                      <w:szCs w:val="21"/>
                    </w:rPr>
                    <w:t>定边县</w:t>
                  </w:r>
                  <w:r>
                    <w:rPr>
                      <w:rFonts w:hint="eastAsia"/>
                      <w:color w:val="auto"/>
                      <w:sz w:val="21"/>
                      <w:szCs w:val="21"/>
                    </w:rPr>
                    <w:t>贺圈镇</w:t>
                  </w:r>
                  <w:r>
                    <w:rPr>
                      <w:color w:val="auto"/>
                      <w:sz w:val="21"/>
                      <w:szCs w:val="21"/>
                    </w:rPr>
                    <w:t>五兴庄</w:t>
                  </w:r>
                  <w:r>
                    <w:rPr>
                      <w:rFonts w:hint="eastAsia"/>
                      <w:color w:val="auto"/>
                      <w:sz w:val="21"/>
                      <w:szCs w:val="21"/>
                    </w:rPr>
                    <w:t>村</w:t>
                  </w:r>
                </w:p>
              </w:tc>
              <w:tc>
                <w:tcPr>
                  <w:tcW w:w="855"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1座（五兴庄集输站）</w:t>
                  </w:r>
                </w:p>
              </w:tc>
              <w:tc>
                <w:tcPr>
                  <w:tcW w:w="930"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700m³/d</w:t>
                  </w:r>
                </w:p>
              </w:tc>
              <w:tc>
                <w:tcPr>
                  <w:tcW w:w="990"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400m³/d</w:t>
                  </w:r>
                </w:p>
              </w:tc>
              <w:tc>
                <w:tcPr>
                  <w:tcW w:w="1432"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自行处理400m³</w:t>
                  </w:r>
                  <w:r>
                    <w:rPr>
                      <w:rFonts w:hint="eastAsia"/>
                      <w:color w:val="auto"/>
                      <w:sz w:val="21"/>
                      <w:szCs w:val="21"/>
                    </w:rPr>
                    <w:t>，剩余300m³采出水拉运至卜掌输转站、定3131污水处理站处理</w:t>
                  </w:r>
                </w:p>
              </w:tc>
              <w:tc>
                <w:tcPr>
                  <w:tcW w:w="1072"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700m³/d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902"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4926-4污水处理站</w:t>
                  </w:r>
                </w:p>
              </w:tc>
              <w:tc>
                <w:tcPr>
                  <w:tcW w:w="1047"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lang w:eastAsia="zh-CN"/>
                    </w:rPr>
                    <w:t>白马崾岘</w:t>
                  </w:r>
                  <w:r>
                    <w:rPr>
                      <w:rFonts w:hint="eastAsia"/>
                      <w:color w:val="auto"/>
                      <w:sz w:val="21"/>
                      <w:szCs w:val="21"/>
                    </w:rPr>
                    <w:t>采油队小涧湾油区</w:t>
                  </w:r>
                </w:p>
              </w:tc>
              <w:tc>
                <w:tcPr>
                  <w:tcW w:w="945"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lang w:eastAsia="zh-CN"/>
                    </w:rPr>
                    <w:t>白马崾岘</w:t>
                  </w:r>
                  <w:r>
                    <w:rPr>
                      <w:color w:val="auto"/>
                      <w:sz w:val="21"/>
                      <w:szCs w:val="21"/>
                    </w:rPr>
                    <w:t>乡小涧湾</w:t>
                  </w:r>
                  <w:r>
                    <w:rPr>
                      <w:rFonts w:hint="eastAsia"/>
                      <w:color w:val="auto"/>
                      <w:sz w:val="21"/>
                      <w:szCs w:val="21"/>
                    </w:rPr>
                    <w:t>村</w:t>
                  </w:r>
                </w:p>
              </w:tc>
              <w:tc>
                <w:tcPr>
                  <w:tcW w:w="855"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无</w:t>
                  </w:r>
                </w:p>
              </w:tc>
              <w:tc>
                <w:tcPr>
                  <w:tcW w:w="930"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154m³/d</w:t>
                  </w:r>
                </w:p>
              </w:tc>
              <w:tc>
                <w:tcPr>
                  <w:tcW w:w="990"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0m³/d</w:t>
                  </w:r>
                </w:p>
              </w:tc>
              <w:tc>
                <w:tcPr>
                  <w:tcW w:w="1432"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154m³水均拉运至定4092污水处理站处理</w:t>
                  </w:r>
                </w:p>
              </w:tc>
              <w:tc>
                <w:tcPr>
                  <w:tcW w:w="1072"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154m³/d</w:t>
                  </w:r>
                </w:p>
              </w:tc>
            </w:tr>
          </w:tbl>
          <w:p>
            <w:pPr>
              <w:spacing w:line="360" w:lineRule="auto"/>
              <w:ind w:firstLine="480"/>
              <w:rPr>
                <w:b/>
                <w:bCs/>
                <w:color w:val="auto"/>
                <w:sz w:val="24"/>
              </w:rPr>
            </w:pPr>
            <w:r>
              <w:rPr>
                <w:rFonts w:hint="eastAsia"/>
                <w:b/>
                <w:bCs/>
                <w:color w:val="auto"/>
                <w:sz w:val="24"/>
              </w:rPr>
              <w:t>2、</w:t>
            </w:r>
            <w:r>
              <w:rPr>
                <w:b/>
                <w:bCs/>
                <w:color w:val="auto"/>
                <w:sz w:val="24"/>
              </w:rPr>
              <w:t>项目组成</w:t>
            </w:r>
          </w:p>
          <w:p>
            <w:pPr>
              <w:spacing w:line="360" w:lineRule="auto"/>
              <w:ind w:firstLine="480"/>
              <w:rPr>
                <w:color w:val="auto"/>
                <w:sz w:val="24"/>
              </w:rPr>
            </w:pPr>
            <w:r>
              <w:rPr>
                <w:rFonts w:hint="eastAsia"/>
                <w:color w:val="auto"/>
                <w:sz w:val="24"/>
              </w:rPr>
              <w:t>本项目主体工程主要为新建，公辅工程主要依托现有站场。本项目涉及的3个站场原为采油站场，站场内保留了较完善的供电线路；生活供暖采用电供暖，本项目无需生产供暖；生活供水主要为罐车拉运和购买包装水，本项目无需生产供水；各站均设有生活办公区或值班撬；盥洗废水洒水抑尘，旱厕粪便定期清运，生活垃圾由作业区统一收集后送生活垃圾填埋场处置。</w:t>
            </w:r>
          </w:p>
          <w:p>
            <w:pPr>
              <w:spacing w:line="360" w:lineRule="auto"/>
              <w:ind w:firstLine="480"/>
              <w:rPr>
                <w:color w:val="auto"/>
                <w:sz w:val="24"/>
              </w:rPr>
            </w:pPr>
            <w:r>
              <w:rPr>
                <w:rFonts w:hint="eastAsia"/>
                <w:color w:val="auto"/>
                <w:sz w:val="24"/>
              </w:rPr>
              <w:t>综上所述，站场配备有较完善的水电暖设施，且本项目对公辅工程需求相对较低，在本项目不新增站场工作人员前提下，公辅工程依托现有工程可行。</w:t>
            </w:r>
          </w:p>
          <w:p>
            <w:pPr>
              <w:spacing w:line="360" w:lineRule="auto"/>
              <w:ind w:firstLine="480"/>
              <w:rPr>
                <w:color w:val="auto"/>
                <w:sz w:val="24"/>
              </w:rPr>
            </w:pPr>
            <w:r>
              <w:rPr>
                <w:rFonts w:hint="eastAsia"/>
                <w:color w:val="auto"/>
                <w:sz w:val="24"/>
              </w:rPr>
              <w:t>下述</w:t>
            </w:r>
            <w:r>
              <w:rPr>
                <w:color w:val="auto"/>
                <w:sz w:val="24"/>
              </w:rPr>
              <w:t>2511</w:t>
            </w:r>
            <w:r>
              <w:rPr>
                <w:rFonts w:hint="eastAsia"/>
                <w:color w:val="auto"/>
                <w:sz w:val="24"/>
              </w:rPr>
              <w:t>站和3270站项目组成表中300m³/d为项目建设初期内容，600m³/d为发生移动后的建设内容。</w:t>
            </w:r>
          </w:p>
          <w:p>
            <w:pPr>
              <w:spacing w:line="360" w:lineRule="auto"/>
              <w:ind w:firstLine="480"/>
              <w:rPr>
                <w:color w:val="auto"/>
                <w:sz w:val="24"/>
              </w:rPr>
            </w:pPr>
            <w:r>
              <w:rPr>
                <w:rFonts w:hint="eastAsia"/>
                <w:color w:val="auto"/>
                <w:sz w:val="24"/>
              </w:rPr>
              <w:t>项目组成见表2-2至表2-4。</w:t>
            </w:r>
          </w:p>
          <w:p>
            <w:pPr>
              <w:pStyle w:val="80"/>
              <w:widowControl/>
              <w:spacing w:line="360" w:lineRule="auto"/>
              <w:ind w:left="0" w:firstLine="0" w:firstLineChars="0"/>
              <w:rPr>
                <w:rFonts w:ascii="Times New Roman" w:hAnsi="Times New Roman"/>
                <w:color w:val="auto"/>
                <w:szCs w:val="21"/>
              </w:rPr>
            </w:pPr>
            <w:r>
              <w:rPr>
                <w:rFonts w:ascii="Times New Roman" w:hAnsi="Times New Roman"/>
                <w:color w:val="auto"/>
                <w:szCs w:val="21"/>
              </w:rPr>
              <w:t>表</w:t>
            </w:r>
            <w:r>
              <w:rPr>
                <w:rFonts w:hint="eastAsia" w:ascii="Times New Roman" w:hAnsi="Times New Roman"/>
                <w:color w:val="auto"/>
                <w:szCs w:val="21"/>
              </w:rPr>
              <w:t xml:space="preserve">2-2 </w:t>
            </w:r>
            <w:r>
              <w:rPr>
                <w:rFonts w:ascii="Times New Roman" w:hAnsi="Times New Roman"/>
                <w:color w:val="auto"/>
                <w:szCs w:val="21"/>
              </w:rPr>
              <w:t xml:space="preserve"> 2511</w:t>
            </w:r>
            <w:r>
              <w:rPr>
                <w:rFonts w:hint="eastAsia" w:ascii="Times New Roman" w:hAnsi="Times New Roman"/>
                <w:color w:val="auto"/>
                <w:szCs w:val="21"/>
              </w:rPr>
              <w:t>污水处理站</w:t>
            </w:r>
            <w:r>
              <w:rPr>
                <w:rFonts w:ascii="Times New Roman" w:hAnsi="Times New Roman"/>
                <w:color w:val="auto"/>
                <w:szCs w:val="21"/>
              </w:rPr>
              <w:t>工程组成表</w:t>
            </w:r>
          </w:p>
          <w:tbl>
            <w:tblPr>
              <w:tblStyle w:val="34"/>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510"/>
              <w:gridCol w:w="753"/>
              <w:gridCol w:w="5314"/>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85" w:type="dxa"/>
                  <w:vAlign w:val="center"/>
                </w:tcPr>
                <w:p>
                  <w:pPr>
                    <w:adjustRightInd w:val="0"/>
                    <w:snapToGrid w:val="0"/>
                    <w:jc w:val="center"/>
                    <w:rPr>
                      <w:color w:val="auto"/>
                      <w:szCs w:val="21"/>
                    </w:rPr>
                  </w:pPr>
                  <w:r>
                    <w:rPr>
                      <w:rFonts w:hint="eastAsia"/>
                      <w:color w:val="auto"/>
                      <w:szCs w:val="21"/>
                    </w:rPr>
                    <w:t>工程类别</w:t>
                  </w:r>
                </w:p>
              </w:tc>
              <w:tc>
                <w:tcPr>
                  <w:tcW w:w="1263" w:type="dxa"/>
                  <w:gridSpan w:val="2"/>
                  <w:vAlign w:val="center"/>
                </w:tcPr>
                <w:p>
                  <w:pPr>
                    <w:adjustRightInd w:val="0"/>
                    <w:snapToGrid w:val="0"/>
                    <w:jc w:val="center"/>
                    <w:rPr>
                      <w:color w:val="auto"/>
                      <w:szCs w:val="21"/>
                    </w:rPr>
                  </w:pPr>
                  <w:r>
                    <w:rPr>
                      <w:rFonts w:hint="eastAsia"/>
                      <w:color w:val="auto"/>
                      <w:szCs w:val="21"/>
                    </w:rPr>
                    <w:t>工程名称</w:t>
                  </w:r>
                </w:p>
              </w:tc>
              <w:tc>
                <w:tcPr>
                  <w:tcW w:w="5314" w:type="dxa"/>
                  <w:vAlign w:val="center"/>
                </w:tcPr>
                <w:p>
                  <w:pPr>
                    <w:adjustRightInd w:val="0"/>
                    <w:snapToGrid w:val="0"/>
                    <w:jc w:val="center"/>
                    <w:rPr>
                      <w:color w:val="auto"/>
                      <w:szCs w:val="21"/>
                    </w:rPr>
                  </w:pPr>
                  <w:r>
                    <w:rPr>
                      <w:rFonts w:hint="eastAsia"/>
                      <w:color w:val="auto"/>
                      <w:szCs w:val="21"/>
                    </w:rPr>
                    <w:t>新建工程内容</w:t>
                  </w:r>
                </w:p>
              </w:tc>
              <w:tc>
                <w:tcPr>
                  <w:tcW w:w="856" w:type="dxa"/>
                  <w:vAlign w:val="center"/>
                </w:tcPr>
                <w:p>
                  <w:pPr>
                    <w:adjustRightInd w:val="0"/>
                    <w:snapToGrid w:val="0"/>
                    <w:jc w:val="center"/>
                    <w:rPr>
                      <w:color w:val="auto"/>
                      <w:szCs w:val="21"/>
                    </w:rPr>
                  </w:pPr>
                  <w:r>
                    <w:rPr>
                      <w:rFonts w:hint="eastAsia"/>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85" w:type="dxa"/>
                  <w:vMerge w:val="restart"/>
                  <w:vAlign w:val="center"/>
                </w:tcPr>
                <w:p>
                  <w:pPr>
                    <w:adjustRightInd w:val="0"/>
                    <w:snapToGrid w:val="0"/>
                    <w:jc w:val="center"/>
                    <w:rPr>
                      <w:color w:val="auto"/>
                      <w:szCs w:val="21"/>
                    </w:rPr>
                  </w:pPr>
                  <w:r>
                    <w:rPr>
                      <w:rFonts w:hint="eastAsia"/>
                      <w:color w:val="auto"/>
                      <w:szCs w:val="21"/>
                    </w:rPr>
                    <w:t>主体工程</w:t>
                  </w:r>
                </w:p>
              </w:tc>
              <w:tc>
                <w:tcPr>
                  <w:tcW w:w="1263" w:type="dxa"/>
                  <w:gridSpan w:val="2"/>
                  <w:vAlign w:val="center"/>
                </w:tcPr>
                <w:p>
                  <w:pPr>
                    <w:adjustRightInd w:val="0"/>
                    <w:snapToGrid w:val="0"/>
                    <w:jc w:val="center"/>
                    <w:rPr>
                      <w:color w:val="auto"/>
                      <w:szCs w:val="21"/>
                    </w:rPr>
                  </w:pPr>
                  <w:r>
                    <w:rPr>
                      <w:rFonts w:hint="eastAsia"/>
                      <w:color w:val="auto"/>
                      <w:szCs w:val="21"/>
                    </w:rPr>
                    <w:t>埋地式卸水箱</w:t>
                  </w:r>
                </w:p>
              </w:tc>
              <w:tc>
                <w:tcPr>
                  <w:tcW w:w="5314" w:type="dxa"/>
                  <w:vAlign w:val="center"/>
                </w:tcPr>
                <w:p>
                  <w:pPr>
                    <w:adjustRightInd w:val="0"/>
                    <w:snapToGrid w:val="0"/>
                    <w:jc w:val="center"/>
                    <w:rPr>
                      <w:color w:val="auto"/>
                      <w:szCs w:val="21"/>
                    </w:rPr>
                  </w:pPr>
                  <w:r>
                    <w:rPr>
                      <w:rFonts w:hint="eastAsia"/>
                      <w:color w:val="auto"/>
                      <w:szCs w:val="21"/>
                    </w:rPr>
                    <w:t>1具钢制碳钢材质，敞口式，自带安全围栏，箱中间安装一道砖混隔墙，设卸水槽有效容积约70m³，停留时间约30min。</w:t>
                  </w:r>
                  <w:r>
                    <w:rPr>
                      <w:rFonts w:hint="eastAsia"/>
                      <w:color w:val="auto"/>
                      <w:szCs w:val="21"/>
                    </w:rPr>
                    <w:t>卸水箱加盖封闭。</w:t>
                  </w:r>
                  <w:r>
                    <w:rPr>
                      <w:rFonts w:hint="eastAsia"/>
                      <w:color w:val="auto"/>
                      <w:szCs w:val="21"/>
                    </w:rPr>
                    <w:t>主要接收来水。</w:t>
                  </w:r>
                </w:p>
              </w:tc>
              <w:tc>
                <w:tcPr>
                  <w:tcW w:w="856" w:type="dxa"/>
                  <w:vAlign w:val="center"/>
                </w:tcPr>
                <w:p>
                  <w:pPr>
                    <w:adjustRightInd w:val="0"/>
                    <w:snapToGrid w:val="0"/>
                    <w:jc w:val="center"/>
                    <w:rPr>
                      <w:color w:val="auto"/>
                      <w:szCs w:val="21"/>
                    </w:rPr>
                  </w:pPr>
                  <w:r>
                    <w:rPr>
                      <w:rFonts w:hint="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缓冲水箱</w:t>
                  </w:r>
                </w:p>
              </w:tc>
              <w:tc>
                <w:tcPr>
                  <w:tcW w:w="5314" w:type="dxa"/>
                  <w:vAlign w:val="center"/>
                </w:tcPr>
                <w:p>
                  <w:pPr>
                    <w:adjustRightInd w:val="0"/>
                    <w:snapToGrid w:val="0"/>
                    <w:jc w:val="center"/>
                    <w:rPr>
                      <w:color w:val="auto"/>
                      <w:szCs w:val="21"/>
                    </w:rPr>
                  </w:pPr>
                  <w:r>
                    <w:rPr>
                      <w:rFonts w:hint="eastAsia"/>
                      <w:color w:val="auto"/>
                      <w:szCs w:val="21"/>
                    </w:rPr>
                    <w:t>300m³/d处理站配套设2具100m³的上下结构缓冲水箱；若后期需调整为600m³/d，则将另外两个站（3270站或4926-4站）的2具100m³的上下结构缓冲水箱移动至本站并安装。</w:t>
                  </w:r>
                </w:p>
              </w:tc>
              <w:tc>
                <w:tcPr>
                  <w:tcW w:w="856" w:type="dxa"/>
                  <w:vMerge w:val="restart"/>
                  <w:vAlign w:val="center"/>
                </w:tcPr>
                <w:p>
                  <w:pPr>
                    <w:adjustRightInd w:val="0"/>
                    <w:snapToGrid w:val="0"/>
                    <w:jc w:val="center"/>
                    <w:rPr>
                      <w:color w:val="auto"/>
                      <w:szCs w:val="21"/>
                    </w:rPr>
                  </w:pPr>
                  <w:r>
                    <w:rPr>
                      <w:rFonts w:hint="eastAsia"/>
                      <w:color w:val="auto"/>
                      <w:szCs w:val="21"/>
                    </w:rPr>
                    <w:t>新建，后期处理规模可能调整为600m³/d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污水处理装置</w:t>
                  </w:r>
                </w:p>
              </w:tc>
              <w:tc>
                <w:tcPr>
                  <w:tcW w:w="5314" w:type="dxa"/>
                  <w:vAlign w:val="center"/>
                </w:tcPr>
                <w:p>
                  <w:pPr>
                    <w:adjustRightInd w:val="0"/>
                    <w:snapToGrid w:val="0"/>
                    <w:jc w:val="center"/>
                    <w:rPr>
                      <w:color w:val="auto"/>
                      <w:szCs w:val="21"/>
                    </w:rPr>
                  </w:pPr>
                  <w:r>
                    <w:rPr>
                      <w:rFonts w:hint="eastAsia"/>
                      <w:color w:val="auto"/>
                      <w:szCs w:val="21"/>
                    </w:rPr>
                    <w:t>设1套300m³/d污水处理装置，分三座撬装设备（包含600m³/d一级加药装置撬、600m³/d二级净化处理装置撬、300m³/d三级过滤装置撬）。</w:t>
                  </w:r>
                </w:p>
                <w:p>
                  <w:pPr>
                    <w:adjustRightInd w:val="0"/>
                    <w:snapToGrid w:val="0"/>
                    <w:jc w:val="center"/>
                    <w:rPr>
                      <w:color w:val="auto"/>
                      <w:szCs w:val="21"/>
                    </w:rPr>
                  </w:pPr>
                  <w:r>
                    <w:rPr>
                      <w:rFonts w:hint="eastAsia"/>
                      <w:color w:val="auto"/>
                      <w:szCs w:val="21"/>
                    </w:rPr>
                    <w:t>若后期需调整为600m³/d，则将另外两个站（3270站或4926-4站）的1个300m³/d三级过滤装置撬移动至本站并安装。</w:t>
                  </w:r>
                </w:p>
              </w:tc>
              <w:tc>
                <w:tcPr>
                  <w:tcW w:w="856" w:type="dxa"/>
                  <w:vMerge w:val="continue"/>
                  <w:vAlign w:val="center"/>
                </w:tcPr>
                <w:p>
                  <w:pPr>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2" w:hRule="atLeast"/>
                <w:tblHeade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净化水箱</w:t>
                  </w:r>
                </w:p>
              </w:tc>
              <w:tc>
                <w:tcPr>
                  <w:tcW w:w="5314" w:type="dxa"/>
                  <w:vAlign w:val="center"/>
                </w:tcPr>
                <w:p>
                  <w:pPr>
                    <w:adjustRightInd w:val="0"/>
                    <w:snapToGrid w:val="0"/>
                    <w:jc w:val="center"/>
                    <w:rPr>
                      <w:color w:val="auto"/>
                      <w:szCs w:val="21"/>
                    </w:rPr>
                  </w:pPr>
                  <w:r>
                    <w:rPr>
                      <w:rFonts w:hint="eastAsia"/>
                      <w:color w:val="auto"/>
                      <w:szCs w:val="21"/>
                    </w:rPr>
                    <w:t>300m³/d处理站配套设2具100m³的上下结构净化水箱；若后期需调整为600m³/d，则将另外两个站（3270站或4926-4站）的2具100m³的上下结构净化水箱移动至本站并安装。</w:t>
                  </w:r>
                </w:p>
              </w:tc>
              <w:tc>
                <w:tcPr>
                  <w:tcW w:w="856" w:type="dxa"/>
                  <w:vMerge w:val="continue"/>
                  <w:vAlign w:val="center"/>
                </w:tcPr>
                <w:p>
                  <w:pPr>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埋地式污水污泥罐</w:t>
                  </w:r>
                </w:p>
              </w:tc>
              <w:tc>
                <w:tcPr>
                  <w:tcW w:w="5314" w:type="dxa"/>
                  <w:vAlign w:val="center"/>
                </w:tcPr>
                <w:p>
                  <w:pPr>
                    <w:adjustRightInd w:val="0"/>
                    <w:snapToGrid w:val="0"/>
                    <w:jc w:val="center"/>
                    <w:rPr>
                      <w:color w:val="auto"/>
                      <w:szCs w:val="21"/>
                    </w:rPr>
                  </w:pPr>
                  <w:r>
                    <w:rPr>
                      <w:rFonts w:hint="eastAsia"/>
                      <w:color w:val="auto"/>
                      <w:szCs w:val="21"/>
                    </w:rPr>
                    <w:t>1具结构水箱，埋地式污水污泥罐，容积为30m³，钢制碳钢，</w:t>
                  </w:r>
                  <w:r>
                    <w:rPr>
                      <w:rFonts w:hint="eastAsia"/>
                      <w:color w:val="auto"/>
                      <w:szCs w:val="21"/>
                    </w:rPr>
                    <w:t>回收罐内用隔板分为废水区和污泥区</w:t>
                  </w:r>
                  <w:r>
                    <w:rPr>
                      <w:rFonts w:hint="eastAsia"/>
                      <w:color w:val="auto"/>
                      <w:szCs w:val="21"/>
                    </w:rPr>
                    <w:t>。回收罐主要回收反冲洗水和污油泥。</w:t>
                  </w:r>
                </w:p>
              </w:tc>
              <w:tc>
                <w:tcPr>
                  <w:tcW w:w="856" w:type="dxa"/>
                  <w:vAlign w:val="center"/>
                </w:tcPr>
                <w:p>
                  <w:pPr>
                    <w:adjustRightInd w:val="0"/>
                    <w:snapToGrid w:val="0"/>
                    <w:jc w:val="center"/>
                    <w:rPr>
                      <w:color w:val="auto"/>
                      <w:szCs w:val="21"/>
                    </w:rPr>
                  </w:pPr>
                  <w:r>
                    <w:rPr>
                      <w:rFonts w:hint="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85" w:type="dxa"/>
                  <w:vMerge w:val="restart"/>
                  <w:vAlign w:val="center"/>
                </w:tcPr>
                <w:p>
                  <w:pPr>
                    <w:adjustRightInd w:val="0"/>
                    <w:snapToGrid w:val="0"/>
                    <w:jc w:val="center"/>
                    <w:rPr>
                      <w:color w:val="auto"/>
                      <w:szCs w:val="21"/>
                    </w:rPr>
                  </w:pPr>
                  <w:r>
                    <w:rPr>
                      <w:rFonts w:hint="eastAsia"/>
                      <w:color w:val="auto"/>
                      <w:szCs w:val="21"/>
                    </w:rPr>
                    <w:t>公用工程</w:t>
                  </w:r>
                </w:p>
              </w:tc>
              <w:tc>
                <w:tcPr>
                  <w:tcW w:w="1263" w:type="dxa"/>
                  <w:gridSpan w:val="2"/>
                  <w:vAlign w:val="center"/>
                </w:tcPr>
                <w:p>
                  <w:pPr>
                    <w:adjustRightInd w:val="0"/>
                    <w:snapToGrid w:val="0"/>
                    <w:jc w:val="center"/>
                    <w:rPr>
                      <w:color w:val="auto"/>
                      <w:szCs w:val="21"/>
                    </w:rPr>
                  </w:pPr>
                  <w:r>
                    <w:rPr>
                      <w:rFonts w:hint="eastAsia"/>
                      <w:color w:val="auto"/>
                      <w:szCs w:val="21"/>
                    </w:rPr>
                    <w:t>供电系统</w:t>
                  </w:r>
                </w:p>
              </w:tc>
              <w:tc>
                <w:tcPr>
                  <w:tcW w:w="5314" w:type="dxa"/>
                  <w:vAlign w:val="center"/>
                </w:tcPr>
                <w:p>
                  <w:pPr>
                    <w:adjustRightInd w:val="0"/>
                    <w:snapToGrid w:val="0"/>
                    <w:jc w:val="center"/>
                    <w:rPr>
                      <w:color w:val="auto"/>
                      <w:szCs w:val="21"/>
                    </w:rPr>
                  </w:pPr>
                  <w:r>
                    <w:rPr>
                      <w:rFonts w:hint="eastAsia"/>
                      <w:color w:val="auto"/>
                      <w:szCs w:val="21"/>
                    </w:rPr>
                    <w:t>依托韩渠油区供电系统</w:t>
                  </w:r>
                </w:p>
              </w:tc>
              <w:tc>
                <w:tcPr>
                  <w:tcW w:w="856"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供水系统</w:t>
                  </w:r>
                </w:p>
              </w:tc>
              <w:tc>
                <w:tcPr>
                  <w:tcW w:w="5314" w:type="dxa"/>
                  <w:vAlign w:val="center"/>
                </w:tcPr>
                <w:p>
                  <w:pPr>
                    <w:adjustRightInd w:val="0"/>
                    <w:snapToGrid w:val="0"/>
                    <w:jc w:val="center"/>
                    <w:rPr>
                      <w:color w:val="auto"/>
                      <w:szCs w:val="21"/>
                    </w:rPr>
                  </w:pPr>
                  <w:r>
                    <w:rPr>
                      <w:rFonts w:hint="eastAsia"/>
                      <w:color w:val="auto"/>
                      <w:szCs w:val="21"/>
                    </w:rPr>
                    <w:t>依托韩渠油区供水系统</w:t>
                  </w:r>
                </w:p>
              </w:tc>
              <w:tc>
                <w:tcPr>
                  <w:tcW w:w="856"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排水系统</w:t>
                  </w:r>
                </w:p>
              </w:tc>
              <w:tc>
                <w:tcPr>
                  <w:tcW w:w="5314" w:type="dxa"/>
                  <w:vAlign w:val="center"/>
                </w:tcPr>
                <w:p>
                  <w:pPr>
                    <w:adjustRightInd w:val="0"/>
                    <w:snapToGrid w:val="0"/>
                    <w:jc w:val="center"/>
                    <w:rPr>
                      <w:color w:val="auto"/>
                      <w:szCs w:val="21"/>
                    </w:rPr>
                  </w:pPr>
                  <w:r>
                    <w:rPr>
                      <w:rFonts w:hint="eastAsia"/>
                      <w:color w:val="auto"/>
                      <w:szCs w:val="21"/>
                    </w:rPr>
                    <w:t>雨水散排，盥洗废水洒水抑尘</w:t>
                  </w:r>
                </w:p>
              </w:tc>
              <w:tc>
                <w:tcPr>
                  <w:tcW w:w="856"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办公生活</w:t>
                  </w:r>
                </w:p>
              </w:tc>
              <w:tc>
                <w:tcPr>
                  <w:tcW w:w="5314" w:type="dxa"/>
                  <w:vAlign w:val="center"/>
                </w:tcPr>
                <w:p>
                  <w:pPr>
                    <w:adjustRightInd w:val="0"/>
                    <w:snapToGrid w:val="0"/>
                    <w:jc w:val="center"/>
                    <w:rPr>
                      <w:color w:val="auto"/>
                      <w:szCs w:val="21"/>
                    </w:rPr>
                  </w:pPr>
                  <w:r>
                    <w:rPr>
                      <w:rFonts w:hint="eastAsia"/>
                      <w:color w:val="auto"/>
                      <w:szCs w:val="21"/>
                    </w:rPr>
                    <w:t>无新增工作人员，依托韩渠油区生活保障设施</w:t>
                  </w:r>
                </w:p>
              </w:tc>
              <w:tc>
                <w:tcPr>
                  <w:tcW w:w="856"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供热系统</w:t>
                  </w:r>
                </w:p>
              </w:tc>
              <w:tc>
                <w:tcPr>
                  <w:tcW w:w="5314" w:type="dxa"/>
                  <w:vAlign w:val="center"/>
                </w:tcPr>
                <w:p>
                  <w:pPr>
                    <w:adjustRightInd w:val="0"/>
                    <w:snapToGrid w:val="0"/>
                    <w:jc w:val="center"/>
                    <w:rPr>
                      <w:color w:val="auto"/>
                      <w:szCs w:val="21"/>
                    </w:rPr>
                  </w:pPr>
                  <w:r>
                    <w:rPr>
                      <w:rFonts w:hint="eastAsia"/>
                      <w:color w:val="auto"/>
                      <w:szCs w:val="21"/>
                    </w:rPr>
                    <w:t>依托韩渠油区供热系统</w:t>
                  </w:r>
                </w:p>
              </w:tc>
              <w:tc>
                <w:tcPr>
                  <w:tcW w:w="856"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Align w:val="center"/>
                </w:tcPr>
                <w:p>
                  <w:pPr>
                    <w:adjustRightInd w:val="0"/>
                    <w:snapToGrid w:val="0"/>
                    <w:jc w:val="center"/>
                    <w:rPr>
                      <w:color w:val="auto"/>
                      <w:szCs w:val="21"/>
                    </w:rPr>
                  </w:pPr>
                  <w:r>
                    <w:rPr>
                      <w:rFonts w:hint="eastAsia"/>
                      <w:color w:val="auto"/>
                      <w:szCs w:val="21"/>
                    </w:rPr>
                    <w:t>辅助工程</w:t>
                  </w:r>
                </w:p>
              </w:tc>
              <w:tc>
                <w:tcPr>
                  <w:tcW w:w="1263" w:type="dxa"/>
                  <w:gridSpan w:val="2"/>
                  <w:vAlign w:val="center"/>
                </w:tcPr>
                <w:p>
                  <w:pPr>
                    <w:adjustRightInd w:val="0"/>
                    <w:snapToGrid w:val="0"/>
                    <w:jc w:val="center"/>
                    <w:rPr>
                      <w:color w:val="auto"/>
                      <w:szCs w:val="21"/>
                    </w:rPr>
                  </w:pPr>
                  <w:r>
                    <w:rPr>
                      <w:rFonts w:hint="eastAsia"/>
                      <w:color w:val="auto"/>
                      <w:szCs w:val="21"/>
                    </w:rPr>
                    <w:t>道路</w:t>
                  </w:r>
                </w:p>
              </w:tc>
              <w:tc>
                <w:tcPr>
                  <w:tcW w:w="5314" w:type="dxa"/>
                  <w:vAlign w:val="center"/>
                </w:tcPr>
                <w:p>
                  <w:pPr>
                    <w:adjustRightInd w:val="0"/>
                    <w:snapToGrid w:val="0"/>
                    <w:jc w:val="center"/>
                    <w:rPr>
                      <w:color w:val="auto"/>
                      <w:szCs w:val="21"/>
                    </w:rPr>
                  </w:pPr>
                  <w:r>
                    <w:rPr>
                      <w:rFonts w:hint="eastAsia"/>
                      <w:color w:val="auto"/>
                      <w:szCs w:val="21"/>
                    </w:rPr>
                    <w:t>站场道路与现有站场道路相连，主干线道路采用柏油路，支线道路采用砂石路</w:t>
                  </w:r>
                </w:p>
              </w:tc>
              <w:tc>
                <w:tcPr>
                  <w:tcW w:w="856" w:type="dxa"/>
                  <w:vAlign w:val="center"/>
                </w:tcPr>
                <w:p>
                  <w:pPr>
                    <w:adjustRightInd w:val="0"/>
                    <w:snapToGrid w:val="0"/>
                    <w:jc w:val="center"/>
                    <w:rPr>
                      <w:color w:val="auto"/>
                      <w:szCs w:val="21"/>
                    </w:rPr>
                  </w:pPr>
                  <w:r>
                    <w:rPr>
                      <w:rFonts w:hint="eastAsia"/>
                      <w:color w:val="auto"/>
                      <w:szCs w:val="21"/>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restart"/>
                  <w:vAlign w:val="center"/>
                </w:tcPr>
                <w:p>
                  <w:pPr>
                    <w:adjustRightInd w:val="0"/>
                    <w:snapToGrid w:val="0"/>
                    <w:jc w:val="center"/>
                    <w:rPr>
                      <w:color w:val="auto"/>
                      <w:szCs w:val="21"/>
                    </w:rPr>
                  </w:pPr>
                  <w:r>
                    <w:rPr>
                      <w:rFonts w:hint="eastAsia"/>
                      <w:color w:val="auto"/>
                      <w:szCs w:val="21"/>
                    </w:rPr>
                    <w:t>环保工程</w:t>
                  </w:r>
                </w:p>
              </w:tc>
              <w:tc>
                <w:tcPr>
                  <w:tcW w:w="510" w:type="dxa"/>
                  <w:vAlign w:val="center"/>
                </w:tcPr>
                <w:p>
                  <w:pPr>
                    <w:adjustRightInd w:val="0"/>
                    <w:snapToGrid w:val="0"/>
                    <w:jc w:val="center"/>
                    <w:rPr>
                      <w:color w:val="auto"/>
                      <w:szCs w:val="21"/>
                    </w:rPr>
                  </w:pPr>
                  <w:r>
                    <w:rPr>
                      <w:rFonts w:hint="eastAsia"/>
                      <w:color w:val="auto"/>
                      <w:szCs w:val="21"/>
                    </w:rPr>
                    <w:t>废气</w:t>
                  </w:r>
                </w:p>
              </w:tc>
              <w:tc>
                <w:tcPr>
                  <w:tcW w:w="753" w:type="dxa"/>
                  <w:vAlign w:val="center"/>
                </w:tcPr>
                <w:p>
                  <w:pPr>
                    <w:adjustRightInd w:val="0"/>
                    <w:snapToGrid w:val="0"/>
                    <w:jc w:val="center"/>
                    <w:rPr>
                      <w:color w:val="auto"/>
                      <w:szCs w:val="21"/>
                    </w:rPr>
                  </w:pPr>
                  <w:r>
                    <w:rPr>
                      <w:rFonts w:hint="eastAsia"/>
                      <w:color w:val="auto"/>
                      <w:szCs w:val="21"/>
                    </w:rPr>
                    <w:t>非甲烷总烃</w:t>
                  </w:r>
                </w:p>
              </w:tc>
              <w:tc>
                <w:tcPr>
                  <w:tcW w:w="5314" w:type="dxa"/>
                  <w:vAlign w:val="center"/>
                </w:tcPr>
                <w:p>
                  <w:pPr>
                    <w:adjustRightInd w:val="0"/>
                    <w:snapToGrid w:val="0"/>
                    <w:jc w:val="center"/>
                    <w:rPr>
                      <w:color w:val="auto"/>
                      <w:szCs w:val="21"/>
                    </w:rPr>
                  </w:pPr>
                  <w:r>
                    <w:rPr>
                      <w:rFonts w:hint="eastAsia"/>
                      <w:color w:val="auto"/>
                      <w:szCs w:val="21"/>
                    </w:rPr>
                    <w:t>项目采出水处理过程中产生少量非甲烷总烃，通过采用密闭设备可减少无组织逸散</w:t>
                  </w:r>
                </w:p>
              </w:tc>
              <w:tc>
                <w:tcPr>
                  <w:tcW w:w="856"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510" w:type="dxa"/>
                  <w:vMerge w:val="restart"/>
                  <w:vAlign w:val="center"/>
                </w:tcPr>
                <w:p>
                  <w:pPr>
                    <w:adjustRightInd w:val="0"/>
                    <w:snapToGrid w:val="0"/>
                    <w:jc w:val="center"/>
                    <w:rPr>
                      <w:color w:val="auto"/>
                      <w:szCs w:val="21"/>
                    </w:rPr>
                  </w:pPr>
                  <w:r>
                    <w:rPr>
                      <w:rFonts w:hint="eastAsia"/>
                      <w:color w:val="auto"/>
                      <w:szCs w:val="21"/>
                    </w:rPr>
                    <w:t>废水</w:t>
                  </w:r>
                </w:p>
              </w:tc>
              <w:tc>
                <w:tcPr>
                  <w:tcW w:w="753" w:type="dxa"/>
                  <w:vAlign w:val="center"/>
                </w:tcPr>
                <w:p>
                  <w:pPr>
                    <w:adjustRightInd w:val="0"/>
                    <w:snapToGrid w:val="0"/>
                    <w:jc w:val="center"/>
                    <w:rPr>
                      <w:color w:val="auto"/>
                      <w:szCs w:val="21"/>
                    </w:rPr>
                  </w:pPr>
                  <w:r>
                    <w:rPr>
                      <w:rFonts w:hint="eastAsia"/>
                      <w:color w:val="auto"/>
                      <w:szCs w:val="21"/>
                    </w:rPr>
                    <w:t>处理水</w:t>
                  </w:r>
                </w:p>
              </w:tc>
              <w:tc>
                <w:tcPr>
                  <w:tcW w:w="5314" w:type="dxa"/>
                  <w:vAlign w:val="center"/>
                </w:tcPr>
                <w:p>
                  <w:pPr>
                    <w:adjustRightInd w:val="0"/>
                    <w:snapToGrid w:val="0"/>
                    <w:jc w:val="center"/>
                    <w:rPr>
                      <w:color w:val="auto"/>
                      <w:szCs w:val="21"/>
                    </w:rPr>
                  </w:pPr>
                  <w:r>
                    <w:rPr>
                      <w:rFonts w:hint="eastAsia"/>
                      <w:color w:val="auto"/>
                      <w:szCs w:val="21"/>
                    </w:rPr>
                    <w:t>处理后水送回注水站回注</w:t>
                  </w:r>
                </w:p>
              </w:tc>
              <w:tc>
                <w:tcPr>
                  <w:tcW w:w="856"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510" w:type="dxa"/>
                  <w:vMerge w:val="continue"/>
                  <w:vAlign w:val="center"/>
                </w:tcPr>
                <w:p>
                  <w:pPr>
                    <w:adjustRightInd w:val="0"/>
                    <w:snapToGrid w:val="0"/>
                    <w:jc w:val="center"/>
                    <w:rPr>
                      <w:color w:val="auto"/>
                      <w:szCs w:val="21"/>
                    </w:rPr>
                  </w:pPr>
                </w:p>
              </w:tc>
              <w:tc>
                <w:tcPr>
                  <w:tcW w:w="753" w:type="dxa"/>
                  <w:vAlign w:val="center"/>
                </w:tcPr>
                <w:p>
                  <w:pPr>
                    <w:adjustRightInd w:val="0"/>
                    <w:snapToGrid w:val="0"/>
                    <w:jc w:val="center"/>
                    <w:rPr>
                      <w:color w:val="auto"/>
                      <w:szCs w:val="21"/>
                    </w:rPr>
                  </w:pPr>
                  <w:r>
                    <w:rPr>
                      <w:rFonts w:hint="eastAsia"/>
                      <w:color w:val="auto"/>
                      <w:szCs w:val="21"/>
                    </w:rPr>
                    <w:t>反冲洗废水</w:t>
                  </w:r>
                </w:p>
              </w:tc>
              <w:tc>
                <w:tcPr>
                  <w:tcW w:w="5314" w:type="dxa"/>
                  <w:vAlign w:val="center"/>
                </w:tcPr>
                <w:p>
                  <w:pPr>
                    <w:adjustRightInd w:val="0"/>
                    <w:snapToGrid w:val="0"/>
                    <w:jc w:val="center"/>
                    <w:rPr>
                      <w:color w:val="auto"/>
                      <w:szCs w:val="21"/>
                    </w:rPr>
                  </w:pPr>
                  <w:r>
                    <w:rPr>
                      <w:rFonts w:hint="eastAsia"/>
                      <w:color w:val="auto"/>
                      <w:szCs w:val="21"/>
                    </w:rPr>
                    <w:t>反冲洗水返还工艺前端的卸水罐处理</w:t>
                  </w:r>
                </w:p>
              </w:tc>
              <w:tc>
                <w:tcPr>
                  <w:tcW w:w="856"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510" w:type="dxa"/>
                  <w:vMerge w:val="continue"/>
                  <w:vAlign w:val="center"/>
                </w:tcPr>
                <w:p>
                  <w:pPr>
                    <w:adjustRightInd w:val="0"/>
                    <w:snapToGrid w:val="0"/>
                    <w:jc w:val="center"/>
                    <w:rPr>
                      <w:color w:val="auto"/>
                      <w:szCs w:val="21"/>
                    </w:rPr>
                  </w:pPr>
                </w:p>
              </w:tc>
              <w:tc>
                <w:tcPr>
                  <w:tcW w:w="753" w:type="dxa"/>
                  <w:vAlign w:val="center"/>
                </w:tcPr>
                <w:p>
                  <w:pPr>
                    <w:adjustRightInd w:val="0"/>
                    <w:snapToGrid w:val="0"/>
                    <w:jc w:val="center"/>
                    <w:rPr>
                      <w:color w:val="auto"/>
                      <w:szCs w:val="21"/>
                    </w:rPr>
                  </w:pPr>
                  <w:r>
                    <w:rPr>
                      <w:rFonts w:hint="eastAsia"/>
                      <w:color w:val="auto"/>
                      <w:szCs w:val="21"/>
                    </w:rPr>
                    <w:t>生活污水</w:t>
                  </w:r>
                </w:p>
              </w:tc>
              <w:tc>
                <w:tcPr>
                  <w:tcW w:w="5314" w:type="dxa"/>
                  <w:vAlign w:val="center"/>
                </w:tcPr>
                <w:p>
                  <w:pPr>
                    <w:adjustRightInd w:val="0"/>
                    <w:snapToGrid w:val="0"/>
                    <w:jc w:val="center"/>
                    <w:rPr>
                      <w:color w:val="auto"/>
                      <w:szCs w:val="21"/>
                    </w:rPr>
                  </w:pPr>
                  <w:r>
                    <w:rPr>
                      <w:rFonts w:hint="eastAsia"/>
                      <w:color w:val="auto"/>
                      <w:szCs w:val="21"/>
                    </w:rPr>
                    <w:t>本项目不新增站场工作人员，少量盥洗废水洒水抑尘，站内设旱厕，粪便定期清运</w:t>
                  </w:r>
                </w:p>
              </w:tc>
              <w:tc>
                <w:tcPr>
                  <w:tcW w:w="856"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510" w:type="dxa"/>
                  <w:vMerge w:val="restart"/>
                  <w:vAlign w:val="center"/>
                </w:tcPr>
                <w:p>
                  <w:pPr>
                    <w:adjustRightInd w:val="0"/>
                    <w:snapToGrid w:val="0"/>
                    <w:jc w:val="center"/>
                    <w:rPr>
                      <w:color w:val="auto"/>
                      <w:szCs w:val="21"/>
                    </w:rPr>
                  </w:pPr>
                  <w:r>
                    <w:rPr>
                      <w:rFonts w:hint="eastAsia"/>
                      <w:color w:val="auto"/>
                      <w:szCs w:val="21"/>
                    </w:rPr>
                    <w:t>固废</w:t>
                  </w:r>
                </w:p>
              </w:tc>
              <w:tc>
                <w:tcPr>
                  <w:tcW w:w="753" w:type="dxa"/>
                  <w:vAlign w:val="center"/>
                </w:tcPr>
                <w:p>
                  <w:pPr>
                    <w:adjustRightInd w:val="0"/>
                    <w:snapToGrid w:val="0"/>
                    <w:jc w:val="center"/>
                    <w:rPr>
                      <w:color w:val="auto"/>
                      <w:szCs w:val="21"/>
                    </w:rPr>
                  </w:pPr>
                  <w:r>
                    <w:rPr>
                      <w:rFonts w:hint="eastAsia"/>
                      <w:color w:val="auto"/>
                      <w:szCs w:val="21"/>
                    </w:rPr>
                    <w:t>含油污泥</w:t>
                  </w:r>
                </w:p>
              </w:tc>
              <w:tc>
                <w:tcPr>
                  <w:tcW w:w="5314" w:type="dxa"/>
                  <w:vAlign w:val="center"/>
                </w:tcPr>
                <w:p>
                  <w:pPr>
                    <w:adjustRightInd w:val="0"/>
                    <w:snapToGrid w:val="0"/>
                    <w:jc w:val="center"/>
                    <w:rPr>
                      <w:color w:val="auto"/>
                      <w:szCs w:val="21"/>
                    </w:rPr>
                  </w:pPr>
                  <w:r>
                    <w:rPr>
                      <w:rFonts w:hint="eastAsia"/>
                      <w:color w:val="auto"/>
                      <w:szCs w:val="21"/>
                    </w:rPr>
                    <w:t>本项目运行过程产生的含油污泥进入污水污泥罐暂存，定期委托有资质单位外运处置</w:t>
                  </w:r>
                </w:p>
              </w:tc>
              <w:tc>
                <w:tcPr>
                  <w:tcW w:w="856"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510" w:type="dxa"/>
                  <w:vMerge w:val="continue"/>
                  <w:vAlign w:val="center"/>
                </w:tcPr>
                <w:p>
                  <w:pPr>
                    <w:adjustRightInd w:val="0"/>
                    <w:snapToGrid w:val="0"/>
                    <w:jc w:val="center"/>
                    <w:rPr>
                      <w:color w:val="auto"/>
                      <w:szCs w:val="21"/>
                    </w:rPr>
                  </w:pPr>
                </w:p>
              </w:tc>
              <w:tc>
                <w:tcPr>
                  <w:tcW w:w="753" w:type="dxa"/>
                  <w:vAlign w:val="center"/>
                </w:tcPr>
                <w:p>
                  <w:pPr>
                    <w:adjustRightInd w:val="0"/>
                    <w:snapToGrid w:val="0"/>
                    <w:jc w:val="center"/>
                    <w:rPr>
                      <w:color w:val="auto"/>
                      <w:szCs w:val="21"/>
                    </w:rPr>
                  </w:pPr>
                  <w:r>
                    <w:rPr>
                      <w:rFonts w:hint="eastAsia"/>
                      <w:color w:val="auto"/>
                      <w:szCs w:val="21"/>
                    </w:rPr>
                    <w:t>废滤料</w:t>
                  </w:r>
                </w:p>
              </w:tc>
              <w:tc>
                <w:tcPr>
                  <w:tcW w:w="5314" w:type="dxa"/>
                  <w:vAlign w:val="center"/>
                </w:tcPr>
                <w:p>
                  <w:pPr>
                    <w:adjustRightInd w:val="0"/>
                    <w:snapToGrid w:val="0"/>
                    <w:jc w:val="center"/>
                    <w:rPr>
                      <w:color w:val="auto"/>
                      <w:szCs w:val="21"/>
                    </w:rPr>
                  </w:pPr>
                  <w:r>
                    <w:rPr>
                      <w:rFonts w:hint="eastAsia"/>
                      <w:color w:val="auto"/>
                      <w:szCs w:val="21"/>
                    </w:rPr>
                    <w:t>过滤机产生的废滤料由设备厂家更换后回收，委托有资质单位处置</w:t>
                  </w:r>
                </w:p>
              </w:tc>
              <w:tc>
                <w:tcPr>
                  <w:tcW w:w="856"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510" w:type="dxa"/>
                  <w:vMerge w:val="continue"/>
                  <w:vAlign w:val="center"/>
                </w:tcPr>
                <w:p>
                  <w:pPr>
                    <w:adjustRightInd w:val="0"/>
                    <w:snapToGrid w:val="0"/>
                    <w:jc w:val="center"/>
                    <w:rPr>
                      <w:color w:val="auto"/>
                      <w:szCs w:val="21"/>
                    </w:rPr>
                  </w:pPr>
                </w:p>
              </w:tc>
              <w:tc>
                <w:tcPr>
                  <w:tcW w:w="753" w:type="dxa"/>
                  <w:vAlign w:val="center"/>
                </w:tcPr>
                <w:p>
                  <w:pPr>
                    <w:adjustRightInd w:val="0"/>
                    <w:snapToGrid w:val="0"/>
                    <w:jc w:val="center"/>
                    <w:rPr>
                      <w:color w:val="auto"/>
                      <w:szCs w:val="21"/>
                    </w:rPr>
                  </w:pPr>
                  <w:r>
                    <w:rPr>
                      <w:rFonts w:hint="eastAsia"/>
                      <w:color w:val="auto"/>
                      <w:szCs w:val="21"/>
                    </w:rPr>
                    <w:t>生活垃圾</w:t>
                  </w:r>
                </w:p>
              </w:tc>
              <w:tc>
                <w:tcPr>
                  <w:tcW w:w="5314" w:type="dxa"/>
                  <w:vAlign w:val="center"/>
                </w:tcPr>
                <w:p>
                  <w:pPr>
                    <w:adjustRightInd w:val="0"/>
                    <w:snapToGrid w:val="0"/>
                    <w:jc w:val="center"/>
                    <w:rPr>
                      <w:color w:val="auto"/>
                      <w:szCs w:val="21"/>
                    </w:rPr>
                  </w:pPr>
                  <w:r>
                    <w:rPr>
                      <w:rFonts w:hint="eastAsia"/>
                      <w:color w:val="auto"/>
                      <w:szCs w:val="21"/>
                    </w:rPr>
                    <w:t>本项目不新增站场工作人员，依托原有生活垃圾处理系统，设垃圾箱、垃圾桶，由项目所在作业区统一收集后送生活垃圾填埋场处置</w:t>
                  </w:r>
                </w:p>
              </w:tc>
              <w:tc>
                <w:tcPr>
                  <w:tcW w:w="856"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510" w:type="dxa"/>
                  <w:vAlign w:val="center"/>
                </w:tcPr>
                <w:p>
                  <w:pPr>
                    <w:adjustRightInd w:val="0"/>
                    <w:snapToGrid w:val="0"/>
                    <w:jc w:val="center"/>
                    <w:rPr>
                      <w:color w:val="auto"/>
                      <w:szCs w:val="21"/>
                    </w:rPr>
                  </w:pPr>
                  <w:r>
                    <w:rPr>
                      <w:rFonts w:hint="eastAsia"/>
                      <w:color w:val="auto"/>
                      <w:szCs w:val="21"/>
                    </w:rPr>
                    <w:t>噪声</w:t>
                  </w:r>
                </w:p>
              </w:tc>
              <w:tc>
                <w:tcPr>
                  <w:tcW w:w="753" w:type="dxa"/>
                  <w:vAlign w:val="center"/>
                </w:tcPr>
                <w:p>
                  <w:pPr>
                    <w:adjustRightInd w:val="0"/>
                    <w:snapToGrid w:val="0"/>
                    <w:jc w:val="center"/>
                    <w:rPr>
                      <w:color w:val="auto"/>
                      <w:szCs w:val="21"/>
                    </w:rPr>
                  </w:pPr>
                  <w:r>
                    <w:rPr>
                      <w:rFonts w:hint="eastAsia"/>
                      <w:color w:val="auto"/>
                      <w:szCs w:val="21"/>
                    </w:rPr>
                    <w:t>各类提升泵等</w:t>
                  </w:r>
                </w:p>
              </w:tc>
              <w:tc>
                <w:tcPr>
                  <w:tcW w:w="5314" w:type="dxa"/>
                  <w:vAlign w:val="center"/>
                </w:tcPr>
                <w:p>
                  <w:pPr>
                    <w:adjustRightInd w:val="0"/>
                    <w:snapToGrid w:val="0"/>
                    <w:jc w:val="center"/>
                    <w:rPr>
                      <w:color w:val="auto"/>
                      <w:szCs w:val="21"/>
                    </w:rPr>
                  </w:pPr>
                  <w:r>
                    <w:rPr>
                      <w:rFonts w:hint="eastAsia"/>
                      <w:color w:val="auto"/>
                      <w:szCs w:val="21"/>
                    </w:rPr>
                    <w:t>选用低噪声设备，独立基础，柔性接头，隔声减震</w:t>
                  </w:r>
                </w:p>
              </w:tc>
              <w:tc>
                <w:tcPr>
                  <w:tcW w:w="856"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依托工程</w:t>
                  </w:r>
                </w:p>
              </w:tc>
              <w:tc>
                <w:tcPr>
                  <w:tcW w:w="1263" w:type="dxa"/>
                  <w:gridSpan w:val="2"/>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回注水站</w:t>
                  </w:r>
                </w:p>
              </w:tc>
              <w:tc>
                <w:tcPr>
                  <w:tcW w:w="5314"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依托</w:t>
                  </w:r>
                  <w:r>
                    <w:rPr>
                      <w:color w:val="auto"/>
                      <w:szCs w:val="21"/>
                    </w:rPr>
                    <w:t>东仁沟采油队韩渠油区</w:t>
                  </w:r>
                  <w:r>
                    <w:rPr>
                      <w:rFonts w:hint="eastAsia"/>
                      <w:color w:val="auto"/>
                      <w:szCs w:val="21"/>
                    </w:rPr>
                    <w:t>内的回注水站</w:t>
                  </w:r>
                </w:p>
              </w:tc>
              <w:tc>
                <w:tcPr>
                  <w:tcW w:w="8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依托</w:t>
                  </w:r>
                </w:p>
              </w:tc>
            </w:tr>
          </w:tbl>
          <w:p>
            <w:pPr>
              <w:pStyle w:val="80"/>
              <w:widowControl/>
              <w:spacing w:line="360" w:lineRule="auto"/>
              <w:ind w:left="0" w:firstLine="0" w:firstLineChars="0"/>
              <w:rPr>
                <w:rFonts w:ascii="Times New Roman" w:hAnsi="Times New Roman"/>
                <w:color w:val="auto"/>
                <w:szCs w:val="21"/>
              </w:rPr>
            </w:pPr>
            <w:r>
              <w:rPr>
                <w:rFonts w:ascii="Times New Roman" w:hAnsi="Times New Roman"/>
                <w:color w:val="auto"/>
                <w:szCs w:val="21"/>
              </w:rPr>
              <w:t>表</w:t>
            </w:r>
            <w:r>
              <w:rPr>
                <w:rFonts w:hint="eastAsia" w:ascii="Times New Roman" w:hAnsi="Times New Roman"/>
                <w:color w:val="auto"/>
                <w:szCs w:val="21"/>
              </w:rPr>
              <w:t xml:space="preserve">2-3 </w:t>
            </w:r>
            <w:r>
              <w:rPr>
                <w:rFonts w:ascii="Times New Roman" w:hAnsi="Times New Roman"/>
                <w:color w:val="auto"/>
                <w:szCs w:val="21"/>
              </w:rPr>
              <w:t xml:space="preserve"> </w:t>
            </w:r>
            <w:r>
              <w:rPr>
                <w:rFonts w:hint="eastAsia" w:ascii="Times New Roman" w:hAnsi="Times New Roman"/>
                <w:color w:val="auto"/>
                <w:szCs w:val="21"/>
              </w:rPr>
              <w:t>3270污水处理站</w:t>
            </w:r>
            <w:r>
              <w:rPr>
                <w:rFonts w:ascii="Times New Roman" w:hAnsi="Times New Roman"/>
                <w:color w:val="auto"/>
                <w:szCs w:val="21"/>
              </w:rPr>
              <w:t>工程组成表</w:t>
            </w:r>
          </w:p>
          <w:tbl>
            <w:tblPr>
              <w:tblStyle w:val="34"/>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510"/>
              <w:gridCol w:w="753"/>
              <w:gridCol w:w="5284"/>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685" w:type="dxa"/>
                  <w:vAlign w:val="center"/>
                </w:tcPr>
                <w:p>
                  <w:pPr>
                    <w:adjustRightInd w:val="0"/>
                    <w:snapToGrid w:val="0"/>
                    <w:jc w:val="center"/>
                    <w:rPr>
                      <w:color w:val="auto"/>
                      <w:szCs w:val="21"/>
                    </w:rPr>
                  </w:pPr>
                  <w:r>
                    <w:rPr>
                      <w:rFonts w:hint="eastAsia"/>
                      <w:color w:val="auto"/>
                      <w:szCs w:val="21"/>
                    </w:rPr>
                    <w:t>工程类别</w:t>
                  </w:r>
                </w:p>
              </w:tc>
              <w:tc>
                <w:tcPr>
                  <w:tcW w:w="1263" w:type="dxa"/>
                  <w:gridSpan w:val="2"/>
                  <w:vAlign w:val="center"/>
                </w:tcPr>
                <w:p>
                  <w:pPr>
                    <w:adjustRightInd w:val="0"/>
                    <w:snapToGrid w:val="0"/>
                    <w:jc w:val="center"/>
                    <w:rPr>
                      <w:color w:val="auto"/>
                      <w:szCs w:val="21"/>
                    </w:rPr>
                  </w:pPr>
                  <w:r>
                    <w:rPr>
                      <w:rFonts w:hint="eastAsia"/>
                      <w:color w:val="auto"/>
                      <w:szCs w:val="21"/>
                    </w:rPr>
                    <w:t>工程名称</w:t>
                  </w:r>
                </w:p>
              </w:tc>
              <w:tc>
                <w:tcPr>
                  <w:tcW w:w="5284" w:type="dxa"/>
                  <w:vAlign w:val="center"/>
                </w:tcPr>
                <w:p>
                  <w:pPr>
                    <w:adjustRightInd w:val="0"/>
                    <w:snapToGrid w:val="0"/>
                    <w:jc w:val="center"/>
                    <w:rPr>
                      <w:color w:val="auto"/>
                      <w:szCs w:val="21"/>
                    </w:rPr>
                  </w:pPr>
                  <w:r>
                    <w:rPr>
                      <w:rFonts w:hint="eastAsia"/>
                      <w:color w:val="auto"/>
                      <w:szCs w:val="21"/>
                    </w:rPr>
                    <w:t>新建工程内容</w:t>
                  </w:r>
                </w:p>
              </w:tc>
              <w:tc>
                <w:tcPr>
                  <w:tcW w:w="886" w:type="dxa"/>
                  <w:vAlign w:val="center"/>
                </w:tcPr>
                <w:p>
                  <w:pPr>
                    <w:adjustRightInd w:val="0"/>
                    <w:snapToGrid w:val="0"/>
                    <w:jc w:val="center"/>
                    <w:rPr>
                      <w:color w:val="auto"/>
                      <w:szCs w:val="21"/>
                    </w:rPr>
                  </w:pPr>
                  <w:r>
                    <w:rPr>
                      <w:rFonts w:hint="eastAsia"/>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85" w:type="dxa"/>
                  <w:vMerge w:val="restart"/>
                  <w:vAlign w:val="center"/>
                </w:tcPr>
                <w:p>
                  <w:pPr>
                    <w:adjustRightInd w:val="0"/>
                    <w:snapToGrid w:val="0"/>
                    <w:jc w:val="center"/>
                    <w:rPr>
                      <w:color w:val="auto"/>
                      <w:szCs w:val="21"/>
                    </w:rPr>
                  </w:pPr>
                  <w:r>
                    <w:rPr>
                      <w:rFonts w:hint="eastAsia"/>
                      <w:color w:val="auto"/>
                      <w:szCs w:val="21"/>
                    </w:rPr>
                    <w:t>主体工程</w:t>
                  </w:r>
                </w:p>
              </w:tc>
              <w:tc>
                <w:tcPr>
                  <w:tcW w:w="1263" w:type="dxa"/>
                  <w:gridSpan w:val="2"/>
                  <w:vAlign w:val="center"/>
                </w:tcPr>
                <w:p>
                  <w:pPr>
                    <w:adjustRightInd w:val="0"/>
                    <w:snapToGrid w:val="0"/>
                    <w:jc w:val="center"/>
                    <w:rPr>
                      <w:color w:val="auto"/>
                      <w:szCs w:val="21"/>
                    </w:rPr>
                  </w:pPr>
                  <w:r>
                    <w:rPr>
                      <w:rFonts w:hint="eastAsia"/>
                      <w:color w:val="auto"/>
                      <w:szCs w:val="21"/>
                    </w:rPr>
                    <w:t>埋地式卸水箱</w:t>
                  </w:r>
                </w:p>
              </w:tc>
              <w:tc>
                <w:tcPr>
                  <w:tcW w:w="5284" w:type="dxa"/>
                  <w:vAlign w:val="center"/>
                </w:tcPr>
                <w:p>
                  <w:pPr>
                    <w:adjustRightInd w:val="0"/>
                    <w:snapToGrid w:val="0"/>
                    <w:jc w:val="center"/>
                    <w:rPr>
                      <w:color w:val="auto"/>
                      <w:szCs w:val="21"/>
                    </w:rPr>
                  </w:pPr>
                  <w:r>
                    <w:rPr>
                      <w:rFonts w:hint="eastAsia"/>
                      <w:color w:val="auto"/>
                      <w:szCs w:val="21"/>
                    </w:rPr>
                    <w:t>1具钢制碳钢材质，敞口式，自带安全围栏，箱中间安装一道砖混隔墙，设卸水槽有效容积约70m³，停留时间约30min。</w:t>
                  </w:r>
                  <w:r>
                    <w:rPr>
                      <w:rFonts w:hint="eastAsia"/>
                      <w:color w:val="auto"/>
                      <w:szCs w:val="21"/>
                    </w:rPr>
                    <w:t>卸水箱加盖封闭。</w:t>
                  </w:r>
                  <w:r>
                    <w:rPr>
                      <w:rFonts w:hint="eastAsia"/>
                      <w:color w:val="auto"/>
                      <w:szCs w:val="21"/>
                    </w:rPr>
                    <w:t>主要接收来水。</w:t>
                  </w:r>
                </w:p>
              </w:tc>
              <w:tc>
                <w:tcPr>
                  <w:tcW w:w="886" w:type="dxa"/>
                  <w:vAlign w:val="center"/>
                </w:tcPr>
                <w:p>
                  <w:pPr>
                    <w:adjustRightInd w:val="0"/>
                    <w:snapToGrid w:val="0"/>
                    <w:jc w:val="center"/>
                    <w:rPr>
                      <w:color w:val="auto"/>
                      <w:szCs w:val="21"/>
                    </w:rPr>
                  </w:pPr>
                  <w:r>
                    <w:rPr>
                      <w:rFonts w:hint="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缓冲水箱</w:t>
                  </w:r>
                </w:p>
              </w:tc>
              <w:tc>
                <w:tcPr>
                  <w:tcW w:w="5284" w:type="dxa"/>
                  <w:vAlign w:val="center"/>
                </w:tcPr>
                <w:p>
                  <w:pPr>
                    <w:adjustRightInd w:val="0"/>
                    <w:snapToGrid w:val="0"/>
                    <w:jc w:val="center"/>
                    <w:rPr>
                      <w:color w:val="auto"/>
                      <w:szCs w:val="21"/>
                    </w:rPr>
                  </w:pPr>
                  <w:r>
                    <w:rPr>
                      <w:rFonts w:hint="eastAsia"/>
                      <w:color w:val="auto"/>
                      <w:szCs w:val="21"/>
                    </w:rPr>
                    <w:t>300m³/d处理站配套设2具100m³的上下结构缓冲水箱；若后期需调整为600m³/d，则将另外两个站（2511站或4926-4站）的2具100m³的上下结构缓冲水箱移动至本站并安装。</w:t>
                  </w:r>
                </w:p>
              </w:tc>
              <w:tc>
                <w:tcPr>
                  <w:tcW w:w="886" w:type="dxa"/>
                  <w:vMerge w:val="restart"/>
                  <w:vAlign w:val="center"/>
                </w:tcPr>
                <w:p>
                  <w:pPr>
                    <w:adjustRightInd w:val="0"/>
                    <w:snapToGrid w:val="0"/>
                    <w:jc w:val="center"/>
                    <w:rPr>
                      <w:color w:val="auto"/>
                      <w:szCs w:val="21"/>
                    </w:rPr>
                  </w:pPr>
                  <w:r>
                    <w:rPr>
                      <w:rFonts w:hint="eastAsia"/>
                      <w:color w:val="auto"/>
                      <w:szCs w:val="21"/>
                    </w:rPr>
                    <w:t>新建，后期处理规模可能调整为600m³/d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污水处理装置</w:t>
                  </w:r>
                </w:p>
              </w:tc>
              <w:tc>
                <w:tcPr>
                  <w:tcW w:w="5284" w:type="dxa"/>
                  <w:vAlign w:val="center"/>
                </w:tcPr>
                <w:p>
                  <w:pPr>
                    <w:adjustRightInd w:val="0"/>
                    <w:snapToGrid w:val="0"/>
                    <w:jc w:val="center"/>
                    <w:rPr>
                      <w:color w:val="auto"/>
                      <w:szCs w:val="21"/>
                    </w:rPr>
                  </w:pPr>
                  <w:r>
                    <w:rPr>
                      <w:rFonts w:hint="eastAsia"/>
                      <w:color w:val="auto"/>
                      <w:szCs w:val="21"/>
                    </w:rPr>
                    <w:t>设1套300m³/d污水处理装置，分三座撬装设备（包含600m³/d一级加药装置撬、600m³/d二级净化处理装置撬、300m³/d三级过滤装置撬）。</w:t>
                  </w:r>
                </w:p>
                <w:p>
                  <w:pPr>
                    <w:adjustRightInd w:val="0"/>
                    <w:snapToGrid w:val="0"/>
                    <w:jc w:val="center"/>
                    <w:rPr>
                      <w:color w:val="auto"/>
                      <w:szCs w:val="21"/>
                    </w:rPr>
                  </w:pPr>
                  <w:r>
                    <w:rPr>
                      <w:rFonts w:hint="eastAsia"/>
                      <w:color w:val="auto"/>
                      <w:szCs w:val="21"/>
                    </w:rPr>
                    <w:t>若后期需调整为600m³/d，则将另外两个站（2511站或4926-4站）的1个300m³/d三级过滤装置撬移动至本站并安装。</w:t>
                  </w:r>
                </w:p>
              </w:tc>
              <w:tc>
                <w:tcPr>
                  <w:tcW w:w="886" w:type="dxa"/>
                  <w:vMerge w:val="continue"/>
                  <w:vAlign w:val="center"/>
                </w:tcPr>
                <w:p>
                  <w:pPr>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净化水箱</w:t>
                  </w:r>
                </w:p>
              </w:tc>
              <w:tc>
                <w:tcPr>
                  <w:tcW w:w="5284" w:type="dxa"/>
                  <w:vAlign w:val="center"/>
                </w:tcPr>
                <w:p>
                  <w:pPr>
                    <w:adjustRightInd w:val="0"/>
                    <w:snapToGrid w:val="0"/>
                    <w:jc w:val="center"/>
                    <w:rPr>
                      <w:color w:val="auto"/>
                      <w:szCs w:val="21"/>
                    </w:rPr>
                  </w:pPr>
                  <w:r>
                    <w:rPr>
                      <w:rFonts w:hint="eastAsia"/>
                      <w:color w:val="auto"/>
                      <w:szCs w:val="21"/>
                    </w:rPr>
                    <w:t>300m³/d处理站配套设2具100m³的上下结构净化水箱；若后期需调整为600m³/d，则将另外两个站（2511站或4926-4站）的2具100m³的上下结构净化水箱移动至本站并安装。</w:t>
                  </w:r>
                </w:p>
              </w:tc>
              <w:tc>
                <w:tcPr>
                  <w:tcW w:w="886" w:type="dxa"/>
                  <w:vMerge w:val="continue"/>
                  <w:vAlign w:val="center"/>
                </w:tcPr>
                <w:p>
                  <w:pPr>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埋地式污水污泥罐</w:t>
                  </w:r>
                </w:p>
              </w:tc>
              <w:tc>
                <w:tcPr>
                  <w:tcW w:w="5284" w:type="dxa"/>
                  <w:vAlign w:val="center"/>
                </w:tcPr>
                <w:p>
                  <w:pPr>
                    <w:adjustRightInd w:val="0"/>
                    <w:snapToGrid w:val="0"/>
                    <w:jc w:val="center"/>
                    <w:rPr>
                      <w:color w:val="auto"/>
                      <w:szCs w:val="21"/>
                    </w:rPr>
                  </w:pPr>
                  <w:r>
                    <w:rPr>
                      <w:rFonts w:hint="eastAsia"/>
                      <w:color w:val="auto"/>
                      <w:szCs w:val="21"/>
                    </w:rPr>
                    <w:t>1具结构水箱，埋地式污水污泥罐，容积为30m³，钢制碳钢，</w:t>
                  </w:r>
                  <w:r>
                    <w:rPr>
                      <w:rFonts w:hint="eastAsia"/>
                      <w:color w:val="auto"/>
                      <w:szCs w:val="21"/>
                    </w:rPr>
                    <w:t>回收罐内用隔板分为废水区和污泥区</w:t>
                  </w:r>
                  <w:r>
                    <w:rPr>
                      <w:rFonts w:hint="eastAsia"/>
                      <w:color w:val="auto"/>
                      <w:szCs w:val="21"/>
                    </w:rPr>
                    <w:t>。回收罐主要回收反冲洗水和污油泥。</w:t>
                  </w:r>
                </w:p>
              </w:tc>
              <w:tc>
                <w:tcPr>
                  <w:tcW w:w="886" w:type="dxa"/>
                  <w:vAlign w:val="center"/>
                </w:tcPr>
                <w:p>
                  <w:pPr>
                    <w:adjustRightInd w:val="0"/>
                    <w:snapToGrid w:val="0"/>
                    <w:jc w:val="center"/>
                    <w:rPr>
                      <w:color w:val="auto"/>
                      <w:szCs w:val="21"/>
                    </w:rPr>
                  </w:pPr>
                  <w:r>
                    <w:rPr>
                      <w:rFonts w:hint="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85" w:type="dxa"/>
                  <w:vMerge w:val="restart"/>
                  <w:vAlign w:val="center"/>
                </w:tcPr>
                <w:p>
                  <w:pPr>
                    <w:adjustRightInd w:val="0"/>
                    <w:snapToGrid w:val="0"/>
                    <w:jc w:val="center"/>
                    <w:rPr>
                      <w:color w:val="auto"/>
                      <w:szCs w:val="21"/>
                    </w:rPr>
                  </w:pPr>
                  <w:r>
                    <w:rPr>
                      <w:rFonts w:hint="eastAsia"/>
                      <w:color w:val="auto"/>
                      <w:szCs w:val="21"/>
                    </w:rPr>
                    <w:t>公用工程</w:t>
                  </w:r>
                </w:p>
              </w:tc>
              <w:tc>
                <w:tcPr>
                  <w:tcW w:w="1263" w:type="dxa"/>
                  <w:gridSpan w:val="2"/>
                  <w:vAlign w:val="center"/>
                </w:tcPr>
                <w:p>
                  <w:pPr>
                    <w:adjustRightInd w:val="0"/>
                    <w:snapToGrid w:val="0"/>
                    <w:jc w:val="center"/>
                    <w:rPr>
                      <w:color w:val="auto"/>
                      <w:szCs w:val="21"/>
                    </w:rPr>
                  </w:pPr>
                  <w:r>
                    <w:rPr>
                      <w:rFonts w:hint="eastAsia"/>
                      <w:color w:val="auto"/>
                      <w:szCs w:val="21"/>
                    </w:rPr>
                    <w:t>供电系统</w:t>
                  </w:r>
                </w:p>
              </w:tc>
              <w:tc>
                <w:tcPr>
                  <w:tcW w:w="5284" w:type="dxa"/>
                  <w:vAlign w:val="center"/>
                </w:tcPr>
                <w:p>
                  <w:pPr>
                    <w:adjustRightInd w:val="0"/>
                    <w:snapToGrid w:val="0"/>
                    <w:jc w:val="center"/>
                    <w:rPr>
                      <w:color w:val="auto"/>
                      <w:szCs w:val="21"/>
                    </w:rPr>
                  </w:pPr>
                  <w:r>
                    <w:rPr>
                      <w:rFonts w:hint="eastAsia"/>
                      <w:color w:val="auto"/>
                      <w:szCs w:val="21"/>
                    </w:rPr>
                    <w:t>依托</w:t>
                  </w:r>
                  <w:r>
                    <w:rPr>
                      <w:color w:val="auto"/>
                      <w:szCs w:val="21"/>
                    </w:rPr>
                    <w:t>五兴庄油区</w:t>
                  </w:r>
                  <w:r>
                    <w:rPr>
                      <w:rFonts w:hint="eastAsia"/>
                      <w:color w:val="auto"/>
                      <w:szCs w:val="21"/>
                    </w:rPr>
                    <w:t>供电系统</w:t>
                  </w:r>
                </w:p>
              </w:tc>
              <w:tc>
                <w:tcPr>
                  <w:tcW w:w="886"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供水系统</w:t>
                  </w:r>
                </w:p>
              </w:tc>
              <w:tc>
                <w:tcPr>
                  <w:tcW w:w="5284" w:type="dxa"/>
                  <w:vAlign w:val="center"/>
                </w:tcPr>
                <w:p>
                  <w:pPr>
                    <w:adjustRightInd w:val="0"/>
                    <w:snapToGrid w:val="0"/>
                    <w:jc w:val="center"/>
                    <w:rPr>
                      <w:color w:val="auto"/>
                      <w:szCs w:val="21"/>
                    </w:rPr>
                  </w:pPr>
                  <w:r>
                    <w:rPr>
                      <w:rFonts w:hint="eastAsia"/>
                      <w:color w:val="auto"/>
                      <w:szCs w:val="21"/>
                    </w:rPr>
                    <w:t>依托</w:t>
                  </w:r>
                  <w:r>
                    <w:rPr>
                      <w:color w:val="auto"/>
                      <w:szCs w:val="21"/>
                    </w:rPr>
                    <w:t>五兴庄油区</w:t>
                  </w:r>
                  <w:r>
                    <w:rPr>
                      <w:rFonts w:hint="eastAsia"/>
                      <w:color w:val="auto"/>
                      <w:szCs w:val="21"/>
                    </w:rPr>
                    <w:t>供水系统</w:t>
                  </w:r>
                </w:p>
              </w:tc>
              <w:tc>
                <w:tcPr>
                  <w:tcW w:w="886"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排水系统</w:t>
                  </w:r>
                </w:p>
              </w:tc>
              <w:tc>
                <w:tcPr>
                  <w:tcW w:w="5284" w:type="dxa"/>
                  <w:vAlign w:val="center"/>
                </w:tcPr>
                <w:p>
                  <w:pPr>
                    <w:adjustRightInd w:val="0"/>
                    <w:snapToGrid w:val="0"/>
                    <w:jc w:val="center"/>
                    <w:rPr>
                      <w:color w:val="auto"/>
                      <w:szCs w:val="21"/>
                    </w:rPr>
                  </w:pPr>
                  <w:r>
                    <w:rPr>
                      <w:rFonts w:hint="eastAsia"/>
                      <w:color w:val="auto"/>
                      <w:szCs w:val="21"/>
                    </w:rPr>
                    <w:t>雨水散排，盥洗废水洒水抑尘</w:t>
                  </w:r>
                </w:p>
              </w:tc>
              <w:tc>
                <w:tcPr>
                  <w:tcW w:w="886"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办公生活</w:t>
                  </w:r>
                </w:p>
              </w:tc>
              <w:tc>
                <w:tcPr>
                  <w:tcW w:w="5284" w:type="dxa"/>
                  <w:vAlign w:val="center"/>
                </w:tcPr>
                <w:p>
                  <w:pPr>
                    <w:adjustRightInd w:val="0"/>
                    <w:snapToGrid w:val="0"/>
                    <w:jc w:val="center"/>
                    <w:rPr>
                      <w:color w:val="auto"/>
                      <w:szCs w:val="21"/>
                    </w:rPr>
                  </w:pPr>
                  <w:r>
                    <w:rPr>
                      <w:rFonts w:hint="eastAsia"/>
                      <w:color w:val="auto"/>
                      <w:szCs w:val="21"/>
                    </w:rPr>
                    <w:t>无新增工作人员，依托</w:t>
                  </w:r>
                  <w:r>
                    <w:rPr>
                      <w:color w:val="auto"/>
                      <w:szCs w:val="21"/>
                    </w:rPr>
                    <w:t>五兴庄油区</w:t>
                  </w:r>
                  <w:r>
                    <w:rPr>
                      <w:rFonts w:hint="eastAsia"/>
                      <w:color w:val="auto"/>
                      <w:szCs w:val="21"/>
                    </w:rPr>
                    <w:t>生活保障设施</w:t>
                  </w:r>
                </w:p>
              </w:tc>
              <w:tc>
                <w:tcPr>
                  <w:tcW w:w="886"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供热系统</w:t>
                  </w:r>
                </w:p>
              </w:tc>
              <w:tc>
                <w:tcPr>
                  <w:tcW w:w="5284" w:type="dxa"/>
                  <w:vAlign w:val="center"/>
                </w:tcPr>
                <w:p>
                  <w:pPr>
                    <w:adjustRightInd w:val="0"/>
                    <w:snapToGrid w:val="0"/>
                    <w:jc w:val="center"/>
                    <w:rPr>
                      <w:color w:val="auto"/>
                      <w:szCs w:val="21"/>
                    </w:rPr>
                  </w:pPr>
                  <w:r>
                    <w:rPr>
                      <w:rFonts w:hint="eastAsia"/>
                      <w:color w:val="auto"/>
                      <w:szCs w:val="21"/>
                    </w:rPr>
                    <w:t>依托</w:t>
                  </w:r>
                  <w:r>
                    <w:rPr>
                      <w:color w:val="auto"/>
                      <w:szCs w:val="21"/>
                    </w:rPr>
                    <w:t>五兴庄油区</w:t>
                  </w:r>
                  <w:r>
                    <w:rPr>
                      <w:rFonts w:hint="eastAsia"/>
                      <w:color w:val="auto"/>
                      <w:szCs w:val="21"/>
                    </w:rPr>
                    <w:t>供热系统</w:t>
                  </w:r>
                </w:p>
              </w:tc>
              <w:tc>
                <w:tcPr>
                  <w:tcW w:w="886"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Align w:val="center"/>
                </w:tcPr>
                <w:p>
                  <w:pPr>
                    <w:adjustRightInd w:val="0"/>
                    <w:snapToGrid w:val="0"/>
                    <w:jc w:val="center"/>
                    <w:rPr>
                      <w:color w:val="auto"/>
                      <w:szCs w:val="21"/>
                    </w:rPr>
                  </w:pPr>
                  <w:r>
                    <w:rPr>
                      <w:rFonts w:hint="eastAsia"/>
                      <w:color w:val="auto"/>
                      <w:szCs w:val="21"/>
                    </w:rPr>
                    <w:t>辅助工程</w:t>
                  </w:r>
                </w:p>
              </w:tc>
              <w:tc>
                <w:tcPr>
                  <w:tcW w:w="1263" w:type="dxa"/>
                  <w:gridSpan w:val="2"/>
                  <w:vAlign w:val="center"/>
                </w:tcPr>
                <w:p>
                  <w:pPr>
                    <w:adjustRightInd w:val="0"/>
                    <w:snapToGrid w:val="0"/>
                    <w:jc w:val="center"/>
                    <w:rPr>
                      <w:color w:val="auto"/>
                      <w:szCs w:val="21"/>
                    </w:rPr>
                  </w:pPr>
                  <w:r>
                    <w:rPr>
                      <w:rFonts w:hint="eastAsia"/>
                      <w:color w:val="auto"/>
                      <w:szCs w:val="21"/>
                    </w:rPr>
                    <w:t>道路</w:t>
                  </w:r>
                </w:p>
              </w:tc>
              <w:tc>
                <w:tcPr>
                  <w:tcW w:w="5284" w:type="dxa"/>
                  <w:vAlign w:val="center"/>
                </w:tcPr>
                <w:p>
                  <w:pPr>
                    <w:adjustRightInd w:val="0"/>
                    <w:snapToGrid w:val="0"/>
                    <w:jc w:val="center"/>
                    <w:rPr>
                      <w:color w:val="auto"/>
                      <w:szCs w:val="21"/>
                    </w:rPr>
                  </w:pPr>
                  <w:r>
                    <w:rPr>
                      <w:rFonts w:hint="eastAsia"/>
                      <w:color w:val="auto"/>
                      <w:szCs w:val="21"/>
                    </w:rPr>
                    <w:t>站场道路与现有站场道路相连，主干线道路采用柏油路，支线道路采用砂石路</w:t>
                  </w:r>
                </w:p>
              </w:tc>
              <w:tc>
                <w:tcPr>
                  <w:tcW w:w="886" w:type="dxa"/>
                  <w:vAlign w:val="center"/>
                </w:tcPr>
                <w:p>
                  <w:pPr>
                    <w:adjustRightInd w:val="0"/>
                    <w:snapToGrid w:val="0"/>
                    <w:jc w:val="center"/>
                    <w:rPr>
                      <w:color w:val="auto"/>
                      <w:szCs w:val="21"/>
                    </w:rPr>
                  </w:pPr>
                  <w:r>
                    <w:rPr>
                      <w:rFonts w:hint="eastAsia"/>
                      <w:color w:val="auto"/>
                      <w:szCs w:val="21"/>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restart"/>
                  <w:vAlign w:val="center"/>
                </w:tcPr>
                <w:p>
                  <w:pPr>
                    <w:adjustRightInd w:val="0"/>
                    <w:snapToGrid w:val="0"/>
                    <w:jc w:val="center"/>
                    <w:rPr>
                      <w:color w:val="auto"/>
                      <w:szCs w:val="21"/>
                    </w:rPr>
                  </w:pPr>
                  <w:r>
                    <w:rPr>
                      <w:rFonts w:hint="eastAsia"/>
                      <w:color w:val="auto"/>
                      <w:szCs w:val="21"/>
                    </w:rPr>
                    <w:t>环保工程</w:t>
                  </w:r>
                </w:p>
              </w:tc>
              <w:tc>
                <w:tcPr>
                  <w:tcW w:w="510" w:type="dxa"/>
                  <w:vAlign w:val="center"/>
                </w:tcPr>
                <w:p>
                  <w:pPr>
                    <w:adjustRightInd w:val="0"/>
                    <w:snapToGrid w:val="0"/>
                    <w:jc w:val="center"/>
                    <w:rPr>
                      <w:color w:val="auto"/>
                      <w:szCs w:val="21"/>
                    </w:rPr>
                  </w:pPr>
                  <w:r>
                    <w:rPr>
                      <w:rFonts w:hint="eastAsia"/>
                      <w:color w:val="auto"/>
                      <w:szCs w:val="21"/>
                    </w:rPr>
                    <w:t>废气</w:t>
                  </w:r>
                </w:p>
              </w:tc>
              <w:tc>
                <w:tcPr>
                  <w:tcW w:w="753" w:type="dxa"/>
                  <w:vAlign w:val="center"/>
                </w:tcPr>
                <w:p>
                  <w:pPr>
                    <w:adjustRightInd w:val="0"/>
                    <w:snapToGrid w:val="0"/>
                    <w:jc w:val="center"/>
                    <w:rPr>
                      <w:color w:val="auto"/>
                      <w:szCs w:val="21"/>
                    </w:rPr>
                  </w:pPr>
                  <w:r>
                    <w:rPr>
                      <w:rFonts w:hint="eastAsia"/>
                      <w:color w:val="auto"/>
                      <w:szCs w:val="21"/>
                    </w:rPr>
                    <w:t>非甲烷总烃</w:t>
                  </w:r>
                </w:p>
              </w:tc>
              <w:tc>
                <w:tcPr>
                  <w:tcW w:w="5284" w:type="dxa"/>
                  <w:vAlign w:val="center"/>
                </w:tcPr>
                <w:p>
                  <w:pPr>
                    <w:adjustRightInd w:val="0"/>
                    <w:snapToGrid w:val="0"/>
                    <w:jc w:val="center"/>
                    <w:rPr>
                      <w:color w:val="auto"/>
                      <w:szCs w:val="21"/>
                    </w:rPr>
                  </w:pPr>
                  <w:r>
                    <w:rPr>
                      <w:rFonts w:hint="eastAsia"/>
                      <w:color w:val="auto"/>
                      <w:szCs w:val="21"/>
                    </w:rPr>
                    <w:t>项目采出水处理过程中产生少量非甲烷总烃，无组织逸散</w:t>
                  </w:r>
                </w:p>
              </w:tc>
              <w:tc>
                <w:tcPr>
                  <w:tcW w:w="886"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510" w:type="dxa"/>
                  <w:vMerge w:val="restart"/>
                  <w:vAlign w:val="center"/>
                </w:tcPr>
                <w:p>
                  <w:pPr>
                    <w:adjustRightInd w:val="0"/>
                    <w:snapToGrid w:val="0"/>
                    <w:jc w:val="center"/>
                    <w:rPr>
                      <w:color w:val="auto"/>
                      <w:szCs w:val="21"/>
                    </w:rPr>
                  </w:pPr>
                  <w:r>
                    <w:rPr>
                      <w:rFonts w:hint="eastAsia"/>
                      <w:color w:val="auto"/>
                      <w:szCs w:val="21"/>
                    </w:rPr>
                    <w:t>废水</w:t>
                  </w:r>
                </w:p>
              </w:tc>
              <w:tc>
                <w:tcPr>
                  <w:tcW w:w="753" w:type="dxa"/>
                  <w:vAlign w:val="center"/>
                </w:tcPr>
                <w:p>
                  <w:pPr>
                    <w:adjustRightInd w:val="0"/>
                    <w:snapToGrid w:val="0"/>
                    <w:jc w:val="center"/>
                    <w:rPr>
                      <w:color w:val="auto"/>
                      <w:szCs w:val="21"/>
                    </w:rPr>
                  </w:pPr>
                  <w:r>
                    <w:rPr>
                      <w:rFonts w:hint="eastAsia"/>
                      <w:color w:val="auto"/>
                      <w:szCs w:val="21"/>
                    </w:rPr>
                    <w:t>反冲洗废水</w:t>
                  </w:r>
                </w:p>
              </w:tc>
              <w:tc>
                <w:tcPr>
                  <w:tcW w:w="5284" w:type="dxa"/>
                  <w:vAlign w:val="center"/>
                </w:tcPr>
                <w:p>
                  <w:pPr>
                    <w:adjustRightInd w:val="0"/>
                    <w:snapToGrid w:val="0"/>
                    <w:jc w:val="center"/>
                    <w:rPr>
                      <w:color w:val="auto"/>
                      <w:szCs w:val="21"/>
                    </w:rPr>
                  </w:pPr>
                  <w:r>
                    <w:rPr>
                      <w:rFonts w:hint="eastAsia"/>
                      <w:color w:val="auto"/>
                      <w:szCs w:val="21"/>
                    </w:rPr>
                    <w:t>反冲洗水返还工艺前端的卸水罐处理。</w:t>
                  </w:r>
                </w:p>
              </w:tc>
              <w:tc>
                <w:tcPr>
                  <w:tcW w:w="886" w:type="dxa"/>
                  <w:vAlign w:val="center"/>
                </w:tcPr>
                <w:p>
                  <w:pPr>
                    <w:adjustRightInd w:val="0"/>
                    <w:snapToGrid w:val="0"/>
                    <w:jc w:val="center"/>
                    <w:rPr>
                      <w:color w:val="auto"/>
                      <w:szCs w:val="21"/>
                    </w:rPr>
                  </w:pPr>
                  <w:r>
                    <w:rPr>
                      <w:rFonts w:hint="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510" w:type="dxa"/>
                  <w:vMerge w:val="continue"/>
                  <w:vAlign w:val="center"/>
                </w:tcPr>
                <w:p>
                  <w:pPr>
                    <w:adjustRightInd w:val="0"/>
                    <w:snapToGrid w:val="0"/>
                    <w:jc w:val="center"/>
                    <w:rPr>
                      <w:color w:val="auto"/>
                      <w:szCs w:val="21"/>
                    </w:rPr>
                  </w:pPr>
                </w:p>
              </w:tc>
              <w:tc>
                <w:tcPr>
                  <w:tcW w:w="753" w:type="dxa"/>
                  <w:vAlign w:val="center"/>
                </w:tcPr>
                <w:p>
                  <w:pPr>
                    <w:adjustRightInd w:val="0"/>
                    <w:snapToGrid w:val="0"/>
                    <w:jc w:val="center"/>
                    <w:rPr>
                      <w:color w:val="auto"/>
                      <w:szCs w:val="21"/>
                    </w:rPr>
                  </w:pPr>
                  <w:r>
                    <w:rPr>
                      <w:rFonts w:hint="eastAsia"/>
                      <w:color w:val="auto"/>
                      <w:szCs w:val="21"/>
                    </w:rPr>
                    <w:t>处理水</w:t>
                  </w:r>
                </w:p>
              </w:tc>
              <w:tc>
                <w:tcPr>
                  <w:tcW w:w="5284" w:type="dxa"/>
                  <w:vAlign w:val="center"/>
                </w:tcPr>
                <w:p>
                  <w:pPr>
                    <w:adjustRightInd w:val="0"/>
                    <w:snapToGrid w:val="0"/>
                    <w:jc w:val="center"/>
                    <w:rPr>
                      <w:color w:val="auto"/>
                      <w:szCs w:val="21"/>
                    </w:rPr>
                  </w:pPr>
                  <w:r>
                    <w:rPr>
                      <w:rFonts w:hint="eastAsia"/>
                      <w:color w:val="auto"/>
                      <w:szCs w:val="21"/>
                    </w:rPr>
                    <w:t>处理后水送回注水站回注</w:t>
                  </w:r>
                </w:p>
              </w:tc>
              <w:tc>
                <w:tcPr>
                  <w:tcW w:w="886"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510" w:type="dxa"/>
                  <w:vMerge w:val="continue"/>
                  <w:vAlign w:val="center"/>
                </w:tcPr>
                <w:p>
                  <w:pPr>
                    <w:adjustRightInd w:val="0"/>
                    <w:snapToGrid w:val="0"/>
                    <w:jc w:val="center"/>
                    <w:rPr>
                      <w:color w:val="auto"/>
                      <w:szCs w:val="21"/>
                    </w:rPr>
                  </w:pPr>
                </w:p>
              </w:tc>
              <w:tc>
                <w:tcPr>
                  <w:tcW w:w="753" w:type="dxa"/>
                  <w:vAlign w:val="center"/>
                </w:tcPr>
                <w:p>
                  <w:pPr>
                    <w:adjustRightInd w:val="0"/>
                    <w:snapToGrid w:val="0"/>
                    <w:jc w:val="center"/>
                    <w:rPr>
                      <w:color w:val="auto"/>
                      <w:szCs w:val="21"/>
                    </w:rPr>
                  </w:pPr>
                  <w:r>
                    <w:rPr>
                      <w:rFonts w:hint="eastAsia"/>
                      <w:color w:val="auto"/>
                      <w:szCs w:val="21"/>
                    </w:rPr>
                    <w:t>生活污水</w:t>
                  </w:r>
                </w:p>
              </w:tc>
              <w:tc>
                <w:tcPr>
                  <w:tcW w:w="5284" w:type="dxa"/>
                  <w:vAlign w:val="center"/>
                </w:tcPr>
                <w:p>
                  <w:pPr>
                    <w:adjustRightInd w:val="0"/>
                    <w:snapToGrid w:val="0"/>
                    <w:jc w:val="center"/>
                    <w:rPr>
                      <w:color w:val="auto"/>
                      <w:szCs w:val="21"/>
                    </w:rPr>
                  </w:pPr>
                  <w:r>
                    <w:rPr>
                      <w:rFonts w:hint="eastAsia"/>
                      <w:color w:val="auto"/>
                      <w:szCs w:val="21"/>
                    </w:rPr>
                    <w:t>本项目不新增站场工作人员，少量盥洗废水洒水抑尘，站内设旱厕，粪便定期清运</w:t>
                  </w:r>
                </w:p>
              </w:tc>
              <w:tc>
                <w:tcPr>
                  <w:tcW w:w="886"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510" w:type="dxa"/>
                  <w:vMerge w:val="restart"/>
                  <w:vAlign w:val="center"/>
                </w:tcPr>
                <w:p>
                  <w:pPr>
                    <w:adjustRightInd w:val="0"/>
                    <w:snapToGrid w:val="0"/>
                    <w:jc w:val="center"/>
                    <w:rPr>
                      <w:color w:val="auto"/>
                      <w:szCs w:val="21"/>
                    </w:rPr>
                  </w:pPr>
                  <w:r>
                    <w:rPr>
                      <w:rFonts w:hint="eastAsia"/>
                      <w:color w:val="auto"/>
                      <w:szCs w:val="21"/>
                    </w:rPr>
                    <w:t>固废</w:t>
                  </w:r>
                </w:p>
              </w:tc>
              <w:tc>
                <w:tcPr>
                  <w:tcW w:w="753" w:type="dxa"/>
                  <w:vAlign w:val="center"/>
                </w:tcPr>
                <w:p>
                  <w:pPr>
                    <w:adjustRightInd w:val="0"/>
                    <w:snapToGrid w:val="0"/>
                    <w:jc w:val="center"/>
                    <w:rPr>
                      <w:color w:val="auto"/>
                      <w:szCs w:val="21"/>
                    </w:rPr>
                  </w:pPr>
                  <w:r>
                    <w:rPr>
                      <w:rFonts w:hint="eastAsia"/>
                      <w:color w:val="auto"/>
                      <w:szCs w:val="21"/>
                    </w:rPr>
                    <w:t>含油污泥</w:t>
                  </w:r>
                </w:p>
              </w:tc>
              <w:tc>
                <w:tcPr>
                  <w:tcW w:w="5284" w:type="dxa"/>
                  <w:vAlign w:val="center"/>
                </w:tcPr>
                <w:p>
                  <w:pPr>
                    <w:adjustRightInd w:val="0"/>
                    <w:snapToGrid w:val="0"/>
                    <w:jc w:val="center"/>
                    <w:rPr>
                      <w:color w:val="auto"/>
                      <w:szCs w:val="21"/>
                    </w:rPr>
                  </w:pPr>
                  <w:r>
                    <w:rPr>
                      <w:rFonts w:hint="eastAsia"/>
                      <w:color w:val="auto"/>
                      <w:szCs w:val="21"/>
                    </w:rPr>
                    <w:t>本项目运行过程产生的含油污泥进入污水污泥罐暂存，定期委托有资质单位外运处置</w:t>
                  </w:r>
                </w:p>
              </w:tc>
              <w:tc>
                <w:tcPr>
                  <w:tcW w:w="886"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continue"/>
                  <w:vAlign w:val="center"/>
                </w:tcPr>
                <w:p>
                  <w:pPr>
                    <w:adjustRightInd w:val="0"/>
                    <w:snapToGrid w:val="0"/>
                    <w:jc w:val="center"/>
                    <w:rPr>
                      <w:color w:val="auto"/>
                      <w:szCs w:val="21"/>
                    </w:rPr>
                  </w:pPr>
                </w:p>
              </w:tc>
              <w:tc>
                <w:tcPr>
                  <w:tcW w:w="510" w:type="dxa"/>
                  <w:vMerge w:val="continue"/>
                  <w:vAlign w:val="center"/>
                </w:tcPr>
                <w:p>
                  <w:pPr>
                    <w:adjustRightInd w:val="0"/>
                    <w:snapToGrid w:val="0"/>
                    <w:jc w:val="center"/>
                    <w:rPr>
                      <w:color w:val="auto"/>
                      <w:szCs w:val="21"/>
                    </w:rPr>
                  </w:pPr>
                </w:p>
              </w:tc>
              <w:tc>
                <w:tcPr>
                  <w:tcW w:w="753" w:type="dxa"/>
                  <w:vAlign w:val="center"/>
                </w:tcPr>
                <w:p>
                  <w:pPr>
                    <w:adjustRightInd w:val="0"/>
                    <w:snapToGrid w:val="0"/>
                    <w:jc w:val="center"/>
                    <w:rPr>
                      <w:color w:val="auto"/>
                      <w:szCs w:val="21"/>
                    </w:rPr>
                  </w:pPr>
                  <w:r>
                    <w:rPr>
                      <w:rFonts w:hint="eastAsia"/>
                      <w:color w:val="auto"/>
                      <w:szCs w:val="21"/>
                    </w:rPr>
                    <w:t>废滤料</w:t>
                  </w:r>
                </w:p>
              </w:tc>
              <w:tc>
                <w:tcPr>
                  <w:tcW w:w="5284" w:type="dxa"/>
                  <w:vAlign w:val="center"/>
                </w:tcPr>
                <w:p>
                  <w:pPr>
                    <w:adjustRightInd w:val="0"/>
                    <w:snapToGrid w:val="0"/>
                    <w:jc w:val="center"/>
                    <w:rPr>
                      <w:color w:val="auto"/>
                      <w:szCs w:val="21"/>
                    </w:rPr>
                  </w:pPr>
                  <w:r>
                    <w:rPr>
                      <w:rFonts w:hint="eastAsia"/>
                      <w:color w:val="auto"/>
                      <w:szCs w:val="21"/>
                    </w:rPr>
                    <w:t>过滤机产生的废滤料由设备厂家更换后回收，委托有资质单位处置</w:t>
                  </w:r>
                </w:p>
              </w:tc>
              <w:tc>
                <w:tcPr>
                  <w:tcW w:w="886"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continue"/>
                  <w:vAlign w:val="center"/>
                </w:tcPr>
                <w:p>
                  <w:pPr>
                    <w:adjustRightInd w:val="0"/>
                    <w:snapToGrid w:val="0"/>
                    <w:jc w:val="center"/>
                    <w:rPr>
                      <w:color w:val="auto"/>
                      <w:szCs w:val="21"/>
                    </w:rPr>
                  </w:pPr>
                </w:p>
              </w:tc>
              <w:tc>
                <w:tcPr>
                  <w:tcW w:w="510" w:type="dxa"/>
                  <w:vMerge w:val="continue"/>
                  <w:vAlign w:val="center"/>
                </w:tcPr>
                <w:p>
                  <w:pPr>
                    <w:adjustRightInd w:val="0"/>
                    <w:snapToGrid w:val="0"/>
                    <w:jc w:val="center"/>
                    <w:rPr>
                      <w:color w:val="auto"/>
                      <w:szCs w:val="21"/>
                    </w:rPr>
                  </w:pPr>
                </w:p>
              </w:tc>
              <w:tc>
                <w:tcPr>
                  <w:tcW w:w="753" w:type="dxa"/>
                  <w:vAlign w:val="center"/>
                </w:tcPr>
                <w:p>
                  <w:pPr>
                    <w:adjustRightInd w:val="0"/>
                    <w:snapToGrid w:val="0"/>
                    <w:jc w:val="center"/>
                    <w:rPr>
                      <w:color w:val="auto"/>
                      <w:szCs w:val="21"/>
                    </w:rPr>
                  </w:pPr>
                  <w:r>
                    <w:rPr>
                      <w:rFonts w:hint="eastAsia"/>
                      <w:color w:val="auto"/>
                      <w:szCs w:val="21"/>
                    </w:rPr>
                    <w:t>生活垃圾</w:t>
                  </w:r>
                </w:p>
              </w:tc>
              <w:tc>
                <w:tcPr>
                  <w:tcW w:w="5284" w:type="dxa"/>
                  <w:vAlign w:val="center"/>
                </w:tcPr>
                <w:p>
                  <w:pPr>
                    <w:adjustRightInd w:val="0"/>
                    <w:snapToGrid w:val="0"/>
                    <w:jc w:val="center"/>
                    <w:rPr>
                      <w:color w:val="auto"/>
                      <w:szCs w:val="21"/>
                    </w:rPr>
                  </w:pPr>
                  <w:r>
                    <w:rPr>
                      <w:rFonts w:hint="eastAsia"/>
                      <w:color w:val="auto"/>
                      <w:szCs w:val="21"/>
                    </w:rPr>
                    <w:t>本项目不新增站场工作人员，依托原有生活垃圾处理系统，设垃圾箱、垃圾桶，由项目所在作业区统一收集后送生活垃圾填埋场处置</w:t>
                  </w:r>
                </w:p>
              </w:tc>
              <w:tc>
                <w:tcPr>
                  <w:tcW w:w="886"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adjustRightInd w:val="0"/>
                    <w:snapToGrid w:val="0"/>
                    <w:jc w:val="center"/>
                    <w:rPr>
                      <w:color w:val="auto"/>
                      <w:szCs w:val="21"/>
                    </w:rPr>
                  </w:pPr>
                </w:p>
              </w:tc>
              <w:tc>
                <w:tcPr>
                  <w:tcW w:w="510" w:type="dxa"/>
                  <w:vAlign w:val="center"/>
                </w:tcPr>
                <w:p>
                  <w:pPr>
                    <w:adjustRightInd w:val="0"/>
                    <w:snapToGrid w:val="0"/>
                    <w:jc w:val="center"/>
                    <w:rPr>
                      <w:color w:val="auto"/>
                      <w:szCs w:val="21"/>
                    </w:rPr>
                  </w:pPr>
                  <w:r>
                    <w:rPr>
                      <w:rFonts w:hint="eastAsia"/>
                      <w:color w:val="auto"/>
                      <w:szCs w:val="21"/>
                    </w:rPr>
                    <w:t>噪声</w:t>
                  </w:r>
                </w:p>
              </w:tc>
              <w:tc>
                <w:tcPr>
                  <w:tcW w:w="753" w:type="dxa"/>
                  <w:vAlign w:val="center"/>
                </w:tcPr>
                <w:p>
                  <w:pPr>
                    <w:adjustRightInd w:val="0"/>
                    <w:snapToGrid w:val="0"/>
                    <w:jc w:val="center"/>
                    <w:rPr>
                      <w:color w:val="auto"/>
                      <w:szCs w:val="21"/>
                    </w:rPr>
                  </w:pPr>
                  <w:r>
                    <w:rPr>
                      <w:rFonts w:hint="eastAsia"/>
                      <w:color w:val="auto"/>
                      <w:szCs w:val="21"/>
                    </w:rPr>
                    <w:t>各类提升泵等</w:t>
                  </w:r>
                </w:p>
              </w:tc>
              <w:tc>
                <w:tcPr>
                  <w:tcW w:w="5284" w:type="dxa"/>
                  <w:vAlign w:val="center"/>
                </w:tcPr>
                <w:p>
                  <w:pPr>
                    <w:adjustRightInd w:val="0"/>
                    <w:snapToGrid w:val="0"/>
                    <w:jc w:val="center"/>
                    <w:rPr>
                      <w:color w:val="auto"/>
                      <w:szCs w:val="21"/>
                    </w:rPr>
                  </w:pPr>
                  <w:r>
                    <w:rPr>
                      <w:rFonts w:hint="eastAsia"/>
                      <w:color w:val="auto"/>
                      <w:szCs w:val="21"/>
                    </w:rPr>
                    <w:t>选用低噪声设备，独立基础，柔性接头，隔声减震</w:t>
                  </w:r>
                </w:p>
              </w:tc>
              <w:tc>
                <w:tcPr>
                  <w:tcW w:w="886" w:type="dxa"/>
                  <w:vAlign w:val="center"/>
                </w:tcPr>
                <w:p>
                  <w:pPr>
                    <w:adjustRightInd w:val="0"/>
                    <w:snapToGrid w:val="0"/>
                    <w:jc w:val="center"/>
                    <w:rPr>
                      <w:color w:val="auto"/>
                      <w:szCs w:val="21"/>
                    </w:rPr>
                  </w:pPr>
                  <w:r>
                    <w:rPr>
                      <w:rFonts w:hint="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依托工程</w:t>
                  </w:r>
                </w:p>
              </w:tc>
              <w:tc>
                <w:tcPr>
                  <w:tcW w:w="1263" w:type="dxa"/>
                  <w:gridSpan w:val="2"/>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回注水站</w:t>
                  </w:r>
                </w:p>
              </w:tc>
              <w:tc>
                <w:tcPr>
                  <w:tcW w:w="5284"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依托五兴庄采油队五兴庄油区内的回注水站</w:t>
                  </w:r>
                </w:p>
              </w:tc>
              <w:tc>
                <w:tcPr>
                  <w:tcW w:w="88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依托</w:t>
                  </w:r>
                </w:p>
              </w:tc>
            </w:tr>
          </w:tbl>
          <w:p>
            <w:pPr>
              <w:pStyle w:val="80"/>
              <w:widowControl/>
              <w:spacing w:line="360" w:lineRule="auto"/>
              <w:ind w:left="0" w:firstLine="0" w:firstLineChars="0"/>
              <w:rPr>
                <w:rFonts w:ascii="Times New Roman" w:hAnsi="Times New Roman"/>
                <w:color w:val="auto"/>
                <w:szCs w:val="21"/>
              </w:rPr>
            </w:pPr>
            <w:r>
              <w:rPr>
                <w:rFonts w:ascii="Times New Roman" w:hAnsi="Times New Roman"/>
                <w:color w:val="auto"/>
                <w:szCs w:val="21"/>
              </w:rPr>
              <w:t>表</w:t>
            </w:r>
            <w:r>
              <w:rPr>
                <w:rFonts w:hint="eastAsia" w:ascii="Times New Roman" w:hAnsi="Times New Roman"/>
                <w:color w:val="auto"/>
                <w:szCs w:val="21"/>
              </w:rPr>
              <w:t xml:space="preserve">2-4 </w:t>
            </w:r>
            <w:r>
              <w:rPr>
                <w:rFonts w:ascii="Times New Roman" w:hAnsi="Times New Roman"/>
                <w:color w:val="auto"/>
                <w:szCs w:val="21"/>
              </w:rPr>
              <w:t xml:space="preserve"> </w:t>
            </w:r>
            <w:r>
              <w:rPr>
                <w:rFonts w:hint="eastAsia" w:ascii="Times New Roman" w:hAnsi="Times New Roman"/>
                <w:color w:val="auto"/>
                <w:szCs w:val="21"/>
              </w:rPr>
              <w:t>4926-4污水处理站</w:t>
            </w:r>
            <w:r>
              <w:rPr>
                <w:rFonts w:ascii="Times New Roman" w:hAnsi="Times New Roman"/>
                <w:color w:val="auto"/>
                <w:szCs w:val="21"/>
              </w:rPr>
              <w:t>工程组成表</w:t>
            </w:r>
          </w:p>
          <w:tbl>
            <w:tblPr>
              <w:tblStyle w:val="34"/>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510"/>
              <w:gridCol w:w="753"/>
              <w:gridCol w:w="548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5" w:type="dxa"/>
                  <w:vAlign w:val="center"/>
                </w:tcPr>
                <w:p>
                  <w:pPr>
                    <w:adjustRightInd w:val="0"/>
                    <w:snapToGrid w:val="0"/>
                    <w:jc w:val="center"/>
                    <w:rPr>
                      <w:color w:val="auto"/>
                      <w:szCs w:val="21"/>
                    </w:rPr>
                  </w:pPr>
                  <w:r>
                    <w:rPr>
                      <w:rFonts w:hint="eastAsia"/>
                      <w:color w:val="auto"/>
                      <w:szCs w:val="21"/>
                    </w:rPr>
                    <w:t>工程类别</w:t>
                  </w:r>
                </w:p>
              </w:tc>
              <w:tc>
                <w:tcPr>
                  <w:tcW w:w="1263" w:type="dxa"/>
                  <w:gridSpan w:val="2"/>
                  <w:vAlign w:val="center"/>
                </w:tcPr>
                <w:p>
                  <w:pPr>
                    <w:adjustRightInd w:val="0"/>
                    <w:snapToGrid w:val="0"/>
                    <w:jc w:val="center"/>
                    <w:rPr>
                      <w:color w:val="auto"/>
                      <w:szCs w:val="21"/>
                    </w:rPr>
                  </w:pPr>
                  <w:r>
                    <w:rPr>
                      <w:rFonts w:hint="eastAsia"/>
                      <w:color w:val="auto"/>
                      <w:szCs w:val="21"/>
                    </w:rPr>
                    <w:t>工程名称</w:t>
                  </w:r>
                </w:p>
              </w:tc>
              <w:tc>
                <w:tcPr>
                  <w:tcW w:w="5480" w:type="dxa"/>
                  <w:vAlign w:val="center"/>
                </w:tcPr>
                <w:p>
                  <w:pPr>
                    <w:adjustRightInd w:val="0"/>
                    <w:snapToGrid w:val="0"/>
                    <w:jc w:val="center"/>
                    <w:rPr>
                      <w:color w:val="auto"/>
                      <w:szCs w:val="21"/>
                    </w:rPr>
                  </w:pPr>
                  <w:r>
                    <w:rPr>
                      <w:rFonts w:hint="eastAsia"/>
                      <w:color w:val="auto"/>
                      <w:szCs w:val="21"/>
                    </w:rPr>
                    <w:t>新建工程内容</w:t>
                  </w:r>
                </w:p>
              </w:tc>
              <w:tc>
                <w:tcPr>
                  <w:tcW w:w="690" w:type="dxa"/>
                  <w:vAlign w:val="center"/>
                </w:tcPr>
                <w:p>
                  <w:pPr>
                    <w:adjustRightInd w:val="0"/>
                    <w:snapToGrid w:val="0"/>
                    <w:jc w:val="center"/>
                    <w:rPr>
                      <w:color w:val="auto"/>
                      <w:szCs w:val="21"/>
                    </w:rPr>
                  </w:pPr>
                  <w:r>
                    <w:rPr>
                      <w:rFonts w:hint="eastAsia"/>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5" w:type="dxa"/>
                  <w:vMerge w:val="restart"/>
                  <w:vAlign w:val="center"/>
                </w:tcPr>
                <w:p>
                  <w:pPr>
                    <w:adjustRightInd w:val="0"/>
                    <w:snapToGrid w:val="0"/>
                    <w:jc w:val="center"/>
                    <w:rPr>
                      <w:color w:val="auto"/>
                      <w:szCs w:val="21"/>
                    </w:rPr>
                  </w:pPr>
                  <w:r>
                    <w:rPr>
                      <w:rFonts w:hint="eastAsia"/>
                      <w:color w:val="auto"/>
                      <w:szCs w:val="21"/>
                    </w:rPr>
                    <w:t>主体工程</w:t>
                  </w:r>
                </w:p>
              </w:tc>
              <w:tc>
                <w:tcPr>
                  <w:tcW w:w="1263" w:type="dxa"/>
                  <w:gridSpan w:val="2"/>
                  <w:vAlign w:val="center"/>
                </w:tcPr>
                <w:p>
                  <w:pPr>
                    <w:adjustRightInd w:val="0"/>
                    <w:snapToGrid w:val="0"/>
                    <w:jc w:val="center"/>
                    <w:rPr>
                      <w:color w:val="auto"/>
                      <w:szCs w:val="21"/>
                    </w:rPr>
                  </w:pPr>
                  <w:r>
                    <w:rPr>
                      <w:rFonts w:hint="eastAsia"/>
                      <w:color w:val="auto"/>
                      <w:szCs w:val="21"/>
                    </w:rPr>
                    <w:t>埋地式卸水箱</w:t>
                  </w:r>
                </w:p>
              </w:tc>
              <w:tc>
                <w:tcPr>
                  <w:tcW w:w="5480" w:type="dxa"/>
                  <w:vAlign w:val="center"/>
                </w:tcPr>
                <w:p>
                  <w:pPr>
                    <w:adjustRightInd w:val="0"/>
                    <w:snapToGrid w:val="0"/>
                    <w:jc w:val="center"/>
                    <w:rPr>
                      <w:color w:val="auto"/>
                      <w:szCs w:val="21"/>
                    </w:rPr>
                  </w:pPr>
                  <w:r>
                    <w:rPr>
                      <w:rFonts w:hint="eastAsia"/>
                      <w:color w:val="auto"/>
                      <w:szCs w:val="21"/>
                    </w:rPr>
                    <w:t>1具钢制碳钢材质，敞口式，自带安全围栏，箱中间安装一道砖混隔墙，设卸水槽有效容积约70m³，停留时间约30min。</w:t>
                  </w:r>
                  <w:r>
                    <w:rPr>
                      <w:rFonts w:hint="eastAsia"/>
                      <w:color w:val="auto"/>
                      <w:szCs w:val="21"/>
                    </w:rPr>
                    <w:t>卸水箱加盖封闭。</w:t>
                  </w:r>
                  <w:r>
                    <w:rPr>
                      <w:rFonts w:hint="eastAsia"/>
                      <w:color w:val="auto"/>
                      <w:szCs w:val="21"/>
                    </w:rPr>
                    <w:t>主要接收来水。</w:t>
                  </w:r>
                </w:p>
              </w:tc>
              <w:tc>
                <w:tcPr>
                  <w:tcW w:w="690" w:type="dxa"/>
                  <w:vAlign w:val="center"/>
                </w:tcPr>
                <w:p>
                  <w:pPr>
                    <w:adjustRightInd w:val="0"/>
                    <w:snapToGrid w:val="0"/>
                    <w:jc w:val="center"/>
                    <w:rPr>
                      <w:color w:val="auto"/>
                      <w:szCs w:val="21"/>
                    </w:rPr>
                  </w:pPr>
                  <w:r>
                    <w:rPr>
                      <w:rFonts w:hint="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缓冲水箱</w:t>
                  </w:r>
                </w:p>
              </w:tc>
              <w:tc>
                <w:tcPr>
                  <w:tcW w:w="5480" w:type="dxa"/>
                  <w:vAlign w:val="center"/>
                </w:tcPr>
                <w:p>
                  <w:pPr>
                    <w:adjustRightInd w:val="0"/>
                    <w:snapToGrid w:val="0"/>
                    <w:jc w:val="center"/>
                    <w:rPr>
                      <w:color w:val="auto"/>
                    </w:rPr>
                  </w:pPr>
                  <w:r>
                    <w:rPr>
                      <w:rFonts w:hint="eastAsia"/>
                      <w:color w:val="auto"/>
                      <w:szCs w:val="21"/>
                    </w:rPr>
                    <w:t>300m³/d处理站配套设2具100m³的上下结构缓冲水箱。</w:t>
                  </w:r>
                </w:p>
              </w:tc>
              <w:tc>
                <w:tcPr>
                  <w:tcW w:w="690" w:type="dxa"/>
                  <w:vAlign w:val="center"/>
                </w:tcPr>
                <w:p>
                  <w:pPr>
                    <w:adjustRightInd w:val="0"/>
                    <w:snapToGrid w:val="0"/>
                    <w:jc w:val="center"/>
                    <w:rPr>
                      <w:color w:val="auto"/>
                      <w:szCs w:val="21"/>
                    </w:rPr>
                  </w:pPr>
                  <w:r>
                    <w:rPr>
                      <w:rFonts w:hint="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污水处理装置</w:t>
                  </w:r>
                </w:p>
              </w:tc>
              <w:tc>
                <w:tcPr>
                  <w:tcW w:w="5480" w:type="dxa"/>
                  <w:vAlign w:val="center"/>
                </w:tcPr>
                <w:p>
                  <w:pPr>
                    <w:adjustRightInd w:val="0"/>
                    <w:snapToGrid w:val="0"/>
                    <w:jc w:val="center"/>
                    <w:rPr>
                      <w:color w:val="auto"/>
                    </w:rPr>
                  </w:pPr>
                  <w:r>
                    <w:rPr>
                      <w:rFonts w:hint="eastAsia"/>
                      <w:color w:val="auto"/>
                      <w:szCs w:val="21"/>
                    </w:rPr>
                    <w:t>设1套300m³/d污水处理装置，分三座撬装设备（包含300m³/d一级加药装置撬、300m³/d二级净化处理装置撬、300m³/d三级过滤装置撬）。</w:t>
                  </w:r>
                </w:p>
              </w:tc>
              <w:tc>
                <w:tcPr>
                  <w:tcW w:w="690" w:type="dxa"/>
                  <w:vAlign w:val="center"/>
                </w:tcPr>
                <w:p>
                  <w:pPr>
                    <w:adjustRightInd w:val="0"/>
                    <w:snapToGrid w:val="0"/>
                    <w:jc w:val="center"/>
                    <w:rPr>
                      <w:color w:val="auto"/>
                      <w:szCs w:val="21"/>
                    </w:rPr>
                  </w:pPr>
                  <w:r>
                    <w:rPr>
                      <w:rFonts w:hint="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净化水箱</w:t>
                  </w:r>
                </w:p>
              </w:tc>
              <w:tc>
                <w:tcPr>
                  <w:tcW w:w="5480" w:type="dxa"/>
                  <w:vAlign w:val="center"/>
                </w:tcPr>
                <w:p>
                  <w:pPr>
                    <w:adjustRightInd w:val="0"/>
                    <w:snapToGrid w:val="0"/>
                    <w:jc w:val="center"/>
                    <w:rPr>
                      <w:color w:val="auto"/>
                      <w:szCs w:val="21"/>
                    </w:rPr>
                  </w:pPr>
                  <w:r>
                    <w:rPr>
                      <w:rFonts w:hint="eastAsia"/>
                      <w:color w:val="auto"/>
                      <w:szCs w:val="21"/>
                    </w:rPr>
                    <w:t>300m³/d处理站配套设2具100m³的上下结构净化水箱。</w:t>
                  </w:r>
                </w:p>
              </w:tc>
              <w:tc>
                <w:tcPr>
                  <w:tcW w:w="690" w:type="dxa"/>
                  <w:vAlign w:val="center"/>
                </w:tcPr>
                <w:p>
                  <w:pPr>
                    <w:adjustRightInd w:val="0"/>
                    <w:snapToGrid w:val="0"/>
                    <w:jc w:val="center"/>
                    <w:rPr>
                      <w:color w:val="auto"/>
                      <w:szCs w:val="21"/>
                    </w:rPr>
                  </w:pPr>
                  <w:r>
                    <w:rPr>
                      <w:rFonts w:hint="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埋地式污水污泥罐</w:t>
                  </w:r>
                </w:p>
              </w:tc>
              <w:tc>
                <w:tcPr>
                  <w:tcW w:w="5480" w:type="dxa"/>
                  <w:vAlign w:val="center"/>
                </w:tcPr>
                <w:p>
                  <w:pPr>
                    <w:adjustRightInd w:val="0"/>
                    <w:snapToGrid w:val="0"/>
                    <w:jc w:val="center"/>
                    <w:rPr>
                      <w:color w:val="auto"/>
                      <w:szCs w:val="21"/>
                    </w:rPr>
                  </w:pPr>
                  <w:r>
                    <w:rPr>
                      <w:rFonts w:hint="eastAsia"/>
                      <w:color w:val="auto"/>
                      <w:szCs w:val="21"/>
                    </w:rPr>
                    <w:t>1具结构水箱，埋地式污水污泥罐，容积为30m³，钢制碳钢，</w:t>
                  </w:r>
                  <w:r>
                    <w:rPr>
                      <w:rFonts w:hint="eastAsia"/>
                      <w:color w:val="auto"/>
                      <w:szCs w:val="21"/>
                    </w:rPr>
                    <w:t>回收罐内用隔板分为废水区和污泥区</w:t>
                  </w:r>
                  <w:r>
                    <w:rPr>
                      <w:rFonts w:hint="eastAsia"/>
                      <w:color w:val="auto"/>
                      <w:szCs w:val="21"/>
                    </w:rPr>
                    <w:t>。回收罐主要回收反冲洗水和污油泥。</w:t>
                  </w:r>
                </w:p>
              </w:tc>
              <w:tc>
                <w:tcPr>
                  <w:tcW w:w="690" w:type="dxa"/>
                  <w:vAlign w:val="center"/>
                </w:tcPr>
                <w:p>
                  <w:pPr>
                    <w:adjustRightInd w:val="0"/>
                    <w:snapToGrid w:val="0"/>
                    <w:jc w:val="center"/>
                    <w:rPr>
                      <w:color w:val="auto"/>
                      <w:szCs w:val="21"/>
                    </w:rPr>
                  </w:pPr>
                  <w:r>
                    <w:rPr>
                      <w:rFonts w:hint="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5" w:type="dxa"/>
                  <w:vMerge w:val="restart"/>
                  <w:vAlign w:val="center"/>
                </w:tcPr>
                <w:p>
                  <w:pPr>
                    <w:adjustRightInd w:val="0"/>
                    <w:snapToGrid w:val="0"/>
                    <w:jc w:val="center"/>
                    <w:rPr>
                      <w:color w:val="auto"/>
                      <w:szCs w:val="21"/>
                    </w:rPr>
                  </w:pPr>
                  <w:r>
                    <w:rPr>
                      <w:rFonts w:hint="eastAsia"/>
                      <w:color w:val="auto"/>
                      <w:szCs w:val="21"/>
                    </w:rPr>
                    <w:t>公用工程</w:t>
                  </w:r>
                </w:p>
              </w:tc>
              <w:tc>
                <w:tcPr>
                  <w:tcW w:w="1263" w:type="dxa"/>
                  <w:gridSpan w:val="2"/>
                  <w:vAlign w:val="center"/>
                </w:tcPr>
                <w:p>
                  <w:pPr>
                    <w:adjustRightInd w:val="0"/>
                    <w:snapToGrid w:val="0"/>
                    <w:jc w:val="center"/>
                    <w:rPr>
                      <w:color w:val="auto"/>
                      <w:szCs w:val="21"/>
                    </w:rPr>
                  </w:pPr>
                  <w:r>
                    <w:rPr>
                      <w:rFonts w:hint="eastAsia"/>
                      <w:color w:val="auto"/>
                      <w:szCs w:val="21"/>
                    </w:rPr>
                    <w:t>供电系统</w:t>
                  </w:r>
                </w:p>
              </w:tc>
              <w:tc>
                <w:tcPr>
                  <w:tcW w:w="5480" w:type="dxa"/>
                  <w:vAlign w:val="center"/>
                </w:tcPr>
                <w:p>
                  <w:pPr>
                    <w:adjustRightInd w:val="0"/>
                    <w:snapToGrid w:val="0"/>
                    <w:jc w:val="center"/>
                    <w:rPr>
                      <w:color w:val="auto"/>
                      <w:szCs w:val="21"/>
                    </w:rPr>
                  </w:pPr>
                  <w:r>
                    <w:rPr>
                      <w:rFonts w:hint="eastAsia"/>
                      <w:color w:val="auto"/>
                      <w:szCs w:val="21"/>
                    </w:rPr>
                    <w:t>依托</w:t>
                  </w:r>
                  <w:r>
                    <w:rPr>
                      <w:color w:val="auto"/>
                      <w:szCs w:val="21"/>
                    </w:rPr>
                    <w:t>小涧湾油区</w:t>
                  </w:r>
                  <w:r>
                    <w:rPr>
                      <w:rFonts w:hint="eastAsia"/>
                      <w:color w:val="auto"/>
                      <w:szCs w:val="21"/>
                    </w:rPr>
                    <w:t>供电系统</w:t>
                  </w:r>
                </w:p>
              </w:tc>
              <w:tc>
                <w:tcPr>
                  <w:tcW w:w="690"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供水系统</w:t>
                  </w:r>
                </w:p>
              </w:tc>
              <w:tc>
                <w:tcPr>
                  <w:tcW w:w="5480" w:type="dxa"/>
                  <w:vAlign w:val="center"/>
                </w:tcPr>
                <w:p>
                  <w:pPr>
                    <w:adjustRightInd w:val="0"/>
                    <w:snapToGrid w:val="0"/>
                    <w:jc w:val="center"/>
                    <w:rPr>
                      <w:color w:val="auto"/>
                      <w:szCs w:val="21"/>
                    </w:rPr>
                  </w:pPr>
                  <w:r>
                    <w:rPr>
                      <w:rFonts w:hint="eastAsia"/>
                      <w:color w:val="auto"/>
                      <w:szCs w:val="21"/>
                    </w:rPr>
                    <w:t>依托</w:t>
                  </w:r>
                  <w:r>
                    <w:rPr>
                      <w:color w:val="auto"/>
                      <w:szCs w:val="21"/>
                    </w:rPr>
                    <w:t>小涧湾油区</w:t>
                  </w:r>
                  <w:r>
                    <w:rPr>
                      <w:rFonts w:hint="eastAsia"/>
                      <w:color w:val="auto"/>
                      <w:szCs w:val="21"/>
                    </w:rPr>
                    <w:t>供水系统</w:t>
                  </w:r>
                </w:p>
              </w:tc>
              <w:tc>
                <w:tcPr>
                  <w:tcW w:w="690"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排水系统</w:t>
                  </w:r>
                </w:p>
              </w:tc>
              <w:tc>
                <w:tcPr>
                  <w:tcW w:w="5480" w:type="dxa"/>
                  <w:vAlign w:val="center"/>
                </w:tcPr>
                <w:p>
                  <w:pPr>
                    <w:adjustRightInd w:val="0"/>
                    <w:snapToGrid w:val="0"/>
                    <w:jc w:val="center"/>
                    <w:rPr>
                      <w:color w:val="auto"/>
                      <w:szCs w:val="21"/>
                    </w:rPr>
                  </w:pPr>
                  <w:r>
                    <w:rPr>
                      <w:rFonts w:hint="eastAsia"/>
                      <w:color w:val="auto"/>
                      <w:szCs w:val="21"/>
                    </w:rPr>
                    <w:t>雨水散排，盥洗废水洒水抑尘</w:t>
                  </w:r>
                </w:p>
              </w:tc>
              <w:tc>
                <w:tcPr>
                  <w:tcW w:w="690"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办公生活</w:t>
                  </w:r>
                </w:p>
              </w:tc>
              <w:tc>
                <w:tcPr>
                  <w:tcW w:w="5480" w:type="dxa"/>
                  <w:vAlign w:val="center"/>
                </w:tcPr>
                <w:p>
                  <w:pPr>
                    <w:adjustRightInd w:val="0"/>
                    <w:snapToGrid w:val="0"/>
                    <w:jc w:val="center"/>
                    <w:rPr>
                      <w:color w:val="auto"/>
                      <w:szCs w:val="21"/>
                    </w:rPr>
                  </w:pPr>
                  <w:r>
                    <w:rPr>
                      <w:rFonts w:hint="eastAsia"/>
                      <w:color w:val="auto"/>
                      <w:szCs w:val="21"/>
                    </w:rPr>
                    <w:t>无新增工作人员，依托</w:t>
                  </w:r>
                  <w:r>
                    <w:rPr>
                      <w:color w:val="auto"/>
                      <w:szCs w:val="21"/>
                    </w:rPr>
                    <w:t>小涧湾油区</w:t>
                  </w:r>
                  <w:r>
                    <w:rPr>
                      <w:rFonts w:hint="eastAsia"/>
                      <w:color w:val="auto"/>
                      <w:szCs w:val="21"/>
                    </w:rPr>
                    <w:t>生活保障设施</w:t>
                  </w:r>
                </w:p>
              </w:tc>
              <w:tc>
                <w:tcPr>
                  <w:tcW w:w="690"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vAlign w:val="center"/>
                </w:tcPr>
                <w:p>
                  <w:pPr>
                    <w:adjustRightInd w:val="0"/>
                    <w:snapToGrid w:val="0"/>
                    <w:jc w:val="center"/>
                    <w:rPr>
                      <w:color w:val="auto"/>
                      <w:szCs w:val="21"/>
                    </w:rPr>
                  </w:pPr>
                </w:p>
              </w:tc>
              <w:tc>
                <w:tcPr>
                  <w:tcW w:w="1263" w:type="dxa"/>
                  <w:gridSpan w:val="2"/>
                  <w:vAlign w:val="center"/>
                </w:tcPr>
                <w:p>
                  <w:pPr>
                    <w:adjustRightInd w:val="0"/>
                    <w:snapToGrid w:val="0"/>
                    <w:jc w:val="center"/>
                    <w:rPr>
                      <w:color w:val="auto"/>
                      <w:szCs w:val="21"/>
                    </w:rPr>
                  </w:pPr>
                  <w:r>
                    <w:rPr>
                      <w:rFonts w:hint="eastAsia"/>
                      <w:color w:val="auto"/>
                      <w:szCs w:val="21"/>
                    </w:rPr>
                    <w:t>供热系统</w:t>
                  </w:r>
                </w:p>
              </w:tc>
              <w:tc>
                <w:tcPr>
                  <w:tcW w:w="5480" w:type="dxa"/>
                  <w:vAlign w:val="center"/>
                </w:tcPr>
                <w:p>
                  <w:pPr>
                    <w:adjustRightInd w:val="0"/>
                    <w:snapToGrid w:val="0"/>
                    <w:jc w:val="center"/>
                    <w:rPr>
                      <w:color w:val="auto"/>
                      <w:szCs w:val="21"/>
                    </w:rPr>
                  </w:pPr>
                  <w:r>
                    <w:rPr>
                      <w:rFonts w:hint="eastAsia"/>
                      <w:color w:val="auto"/>
                      <w:szCs w:val="21"/>
                    </w:rPr>
                    <w:t>依托</w:t>
                  </w:r>
                  <w:r>
                    <w:rPr>
                      <w:color w:val="auto"/>
                      <w:szCs w:val="21"/>
                    </w:rPr>
                    <w:t>小涧湾油区</w:t>
                  </w:r>
                  <w:r>
                    <w:rPr>
                      <w:rFonts w:hint="eastAsia"/>
                      <w:color w:val="auto"/>
                      <w:szCs w:val="21"/>
                    </w:rPr>
                    <w:t>供热系统</w:t>
                  </w:r>
                </w:p>
              </w:tc>
              <w:tc>
                <w:tcPr>
                  <w:tcW w:w="690"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Align w:val="center"/>
                </w:tcPr>
                <w:p>
                  <w:pPr>
                    <w:adjustRightInd w:val="0"/>
                    <w:snapToGrid w:val="0"/>
                    <w:jc w:val="center"/>
                    <w:rPr>
                      <w:color w:val="auto"/>
                      <w:szCs w:val="21"/>
                    </w:rPr>
                  </w:pPr>
                  <w:r>
                    <w:rPr>
                      <w:rFonts w:hint="eastAsia"/>
                      <w:color w:val="auto"/>
                      <w:szCs w:val="21"/>
                    </w:rPr>
                    <w:t>辅助工程</w:t>
                  </w:r>
                </w:p>
              </w:tc>
              <w:tc>
                <w:tcPr>
                  <w:tcW w:w="1263" w:type="dxa"/>
                  <w:gridSpan w:val="2"/>
                  <w:vAlign w:val="center"/>
                </w:tcPr>
                <w:p>
                  <w:pPr>
                    <w:adjustRightInd w:val="0"/>
                    <w:snapToGrid w:val="0"/>
                    <w:jc w:val="center"/>
                    <w:rPr>
                      <w:color w:val="auto"/>
                      <w:szCs w:val="21"/>
                    </w:rPr>
                  </w:pPr>
                  <w:r>
                    <w:rPr>
                      <w:rFonts w:hint="eastAsia"/>
                      <w:color w:val="auto"/>
                      <w:szCs w:val="21"/>
                    </w:rPr>
                    <w:t>道路</w:t>
                  </w:r>
                </w:p>
              </w:tc>
              <w:tc>
                <w:tcPr>
                  <w:tcW w:w="5480" w:type="dxa"/>
                  <w:vAlign w:val="center"/>
                </w:tcPr>
                <w:p>
                  <w:pPr>
                    <w:adjustRightInd w:val="0"/>
                    <w:snapToGrid w:val="0"/>
                    <w:jc w:val="center"/>
                    <w:rPr>
                      <w:color w:val="auto"/>
                      <w:szCs w:val="21"/>
                    </w:rPr>
                  </w:pPr>
                  <w:r>
                    <w:rPr>
                      <w:rFonts w:hint="eastAsia"/>
                      <w:color w:val="auto"/>
                      <w:szCs w:val="21"/>
                    </w:rPr>
                    <w:t>站场道路与现有站场道路相连，主干线道路采用柏油路，支线道路采用砂石路</w:t>
                  </w:r>
                </w:p>
              </w:tc>
              <w:tc>
                <w:tcPr>
                  <w:tcW w:w="690" w:type="dxa"/>
                  <w:vAlign w:val="center"/>
                </w:tcPr>
                <w:p>
                  <w:pPr>
                    <w:adjustRightInd w:val="0"/>
                    <w:snapToGrid w:val="0"/>
                    <w:jc w:val="center"/>
                    <w:rPr>
                      <w:color w:val="auto"/>
                      <w:szCs w:val="21"/>
                    </w:rPr>
                  </w:pPr>
                  <w:r>
                    <w:rPr>
                      <w:rFonts w:hint="eastAsia"/>
                      <w:color w:val="auto"/>
                      <w:szCs w:val="21"/>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85" w:type="dxa"/>
                  <w:vMerge w:val="restart"/>
                  <w:vAlign w:val="center"/>
                </w:tcPr>
                <w:p>
                  <w:pPr>
                    <w:adjustRightInd w:val="0"/>
                    <w:snapToGrid w:val="0"/>
                    <w:jc w:val="center"/>
                    <w:rPr>
                      <w:color w:val="auto"/>
                      <w:szCs w:val="21"/>
                    </w:rPr>
                  </w:pPr>
                  <w:r>
                    <w:rPr>
                      <w:rFonts w:hint="eastAsia"/>
                      <w:color w:val="auto"/>
                      <w:szCs w:val="21"/>
                    </w:rPr>
                    <w:t>环保工程</w:t>
                  </w:r>
                </w:p>
              </w:tc>
              <w:tc>
                <w:tcPr>
                  <w:tcW w:w="510" w:type="dxa"/>
                  <w:vAlign w:val="center"/>
                </w:tcPr>
                <w:p>
                  <w:pPr>
                    <w:adjustRightInd w:val="0"/>
                    <w:snapToGrid w:val="0"/>
                    <w:jc w:val="center"/>
                    <w:rPr>
                      <w:color w:val="auto"/>
                      <w:szCs w:val="21"/>
                    </w:rPr>
                  </w:pPr>
                  <w:r>
                    <w:rPr>
                      <w:rFonts w:hint="eastAsia"/>
                      <w:color w:val="auto"/>
                      <w:szCs w:val="21"/>
                    </w:rPr>
                    <w:t>废气</w:t>
                  </w:r>
                </w:p>
              </w:tc>
              <w:tc>
                <w:tcPr>
                  <w:tcW w:w="753" w:type="dxa"/>
                  <w:vAlign w:val="center"/>
                </w:tcPr>
                <w:p>
                  <w:pPr>
                    <w:adjustRightInd w:val="0"/>
                    <w:snapToGrid w:val="0"/>
                    <w:jc w:val="center"/>
                    <w:rPr>
                      <w:color w:val="auto"/>
                      <w:szCs w:val="21"/>
                    </w:rPr>
                  </w:pPr>
                  <w:r>
                    <w:rPr>
                      <w:rFonts w:hint="eastAsia"/>
                      <w:color w:val="auto"/>
                      <w:szCs w:val="21"/>
                    </w:rPr>
                    <w:t>非甲烷总烃</w:t>
                  </w:r>
                </w:p>
              </w:tc>
              <w:tc>
                <w:tcPr>
                  <w:tcW w:w="5480" w:type="dxa"/>
                  <w:vAlign w:val="center"/>
                </w:tcPr>
                <w:p>
                  <w:pPr>
                    <w:adjustRightInd w:val="0"/>
                    <w:snapToGrid w:val="0"/>
                    <w:jc w:val="center"/>
                    <w:rPr>
                      <w:color w:val="auto"/>
                      <w:szCs w:val="21"/>
                    </w:rPr>
                  </w:pPr>
                  <w:r>
                    <w:rPr>
                      <w:rFonts w:hint="eastAsia"/>
                      <w:color w:val="auto"/>
                      <w:szCs w:val="21"/>
                    </w:rPr>
                    <w:t>项目采出水处理过程中产生少量非甲烷总烃，无组织逸散</w:t>
                  </w:r>
                </w:p>
              </w:tc>
              <w:tc>
                <w:tcPr>
                  <w:tcW w:w="690"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vAlign w:val="center"/>
                </w:tcPr>
                <w:p>
                  <w:pPr>
                    <w:adjustRightInd w:val="0"/>
                    <w:snapToGrid w:val="0"/>
                    <w:jc w:val="center"/>
                    <w:rPr>
                      <w:color w:val="auto"/>
                      <w:szCs w:val="21"/>
                    </w:rPr>
                  </w:pPr>
                </w:p>
              </w:tc>
              <w:tc>
                <w:tcPr>
                  <w:tcW w:w="510" w:type="dxa"/>
                  <w:vMerge w:val="restart"/>
                  <w:vAlign w:val="center"/>
                </w:tcPr>
                <w:p>
                  <w:pPr>
                    <w:adjustRightInd w:val="0"/>
                    <w:snapToGrid w:val="0"/>
                    <w:jc w:val="center"/>
                    <w:rPr>
                      <w:color w:val="auto"/>
                      <w:szCs w:val="21"/>
                    </w:rPr>
                  </w:pPr>
                  <w:r>
                    <w:rPr>
                      <w:rFonts w:hint="eastAsia"/>
                      <w:color w:val="auto"/>
                      <w:szCs w:val="21"/>
                    </w:rPr>
                    <w:t>废水</w:t>
                  </w:r>
                </w:p>
              </w:tc>
              <w:tc>
                <w:tcPr>
                  <w:tcW w:w="753" w:type="dxa"/>
                  <w:vAlign w:val="center"/>
                </w:tcPr>
                <w:p>
                  <w:pPr>
                    <w:adjustRightInd w:val="0"/>
                    <w:snapToGrid w:val="0"/>
                    <w:jc w:val="center"/>
                    <w:rPr>
                      <w:color w:val="auto"/>
                      <w:szCs w:val="21"/>
                    </w:rPr>
                  </w:pPr>
                  <w:r>
                    <w:rPr>
                      <w:rFonts w:hint="eastAsia"/>
                      <w:color w:val="auto"/>
                      <w:szCs w:val="21"/>
                    </w:rPr>
                    <w:t>反冲洗废水</w:t>
                  </w:r>
                </w:p>
              </w:tc>
              <w:tc>
                <w:tcPr>
                  <w:tcW w:w="5480" w:type="dxa"/>
                  <w:vAlign w:val="center"/>
                </w:tcPr>
                <w:p>
                  <w:pPr>
                    <w:adjustRightInd w:val="0"/>
                    <w:snapToGrid w:val="0"/>
                    <w:jc w:val="center"/>
                    <w:rPr>
                      <w:color w:val="auto"/>
                      <w:szCs w:val="21"/>
                    </w:rPr>
                  </w:pPr>
                  <w:r>
                    <w:rPr>
                      <w:rFonts w:hint="eastAsia"/>
                      <w:color w:val="auto"/>
                      <w:szCs w:val="21"/>
                    </w:rPr>
                    <w:t>反冲洗水返还工艺前端的卸水罐处理</w:t>
                  </w:r>
                </w:p>
              </w:tc>
              <w:tc>
                <w:tcPr>
                  <w:tcW w:w="690"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vAlign w:val="center"/>
                </w:tcPr>
                <w:p>
                  <w:pPr>
                    <w:adjustRightInd w:val="0"/>
                    <w:snapToGrid w:val="0"/>
                    <w:jc w:val="center"/>
                    <w:rPr>
                      <w:color w:val="auto"/>
                      <w:szCs w:val="21"/>
                    </w:rPr>
                  </w:pPr>
                </w:p>
              </w:tc>
              <w:tc>
                <w:tcPr>
                  <w:tcW w:w="510" w:type="dxa"/>
                  <w:vMerge w:val="continue"/>
                  <w:vAlign w:val="center"/>
                </w:tcPr>
                <w:p>
                  <w:pPr>
                    <w:adjustRightInd w:val="0"/>
                    <w:snapToGrid w:val="0"/>
                    <w:jc w:val="center"/>
                    <w:rPr>
                      <w:color w:val="auto"/>
                      <w:szCs w:val="21"/>
                    </w:rPr>
                  </w:pPr>
                </w:p>
              </w:tc>
              <w:tc>
                <w:tcPr>
                  <w:tcW w:w="753" w:type="dxa"/>
                  <w:vAlign w:val="center"/>
                </w:tcPr>
                <w:p>
                  <w:pPr>
                    <w:adjustRightInd w:val="0"/>
                    <w:snapToGrid w:val="0"/>
                    <w:jc w:val="center"/>
                    <w:rPr>
                      <w:color w:val="auto"/>
                      <w:szCs w:val="21"/>
                    </w:rPr>
                  </w:pPr>
                  <w:r>
                    <w:rPr>
                      <w:rFonts w:hint="eastAsia"/>
                      <w:color w:val="auto"/>
                      <w:szCs w:val="21"/>
                    </w:rPr>
                    <w:t>处理水</w:t>
                  </w:r>
                </w:p>
              </w:tc>
              <w:tc>
                <w:tcPr>
                  <w:tcW w:w="5480" w:type="dxa"/>
                  <w:vAlign w:val="center"/>
                </w:tcPr>
                <w:p>
                  <w:pPr>
                    <w:adjustRightInd w:val="0"/>
                    <w:snapToGrid w:val="0"/>
                    <w:jc w:val="center"/>
                    <w:rPr>
                      <w:color w:val="auto"/>
                      <w:szCs w:val="21"/>
                    </w:rPr>
                  </w:pPr>
                  <w:r>
                    <w:rPr>
                      <w:rFonts w:hint="eastAsia"/>
                      <w:color w:val="auto"/>
                      <w:szCs w:val="21"/>
                    </w:rPr>
                    <w:t>处理后水送回注水站回注</w:t>
                  </w:r>
                </w:p>
              </w:tc>
              <w:tc>
                <w:tcPr>
                  <w:tcW w:w="690"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vAlign w:val="center"/>
                </w:tcPr>
                <w:p>
                  <w:pPr>
                    <w:adjustRightInd w:val="0"/>
                    <w:snapToGrid w:val="0"/>
                    <w:jc w:val="center"/>
                    <w:rPr>
                      <w:color w:val="auto"/>
                      <w:szCs w:val="21"/>
                    </w:rPr>
                  </w:pPr>
                </w:p>
              </w:tc>
              <w:tc>
                <w:tcPr>
                  <w:tcW w:w="510" w:type="dxa"/>
                  <w:vMerge w:val="continue"/>
                  <w:vAlign w:val="center"/>
                </w:tcPr>
                <w:p>
                  <w:pPr>
                    <w:adjustRightInd w:val="0"/>
                    <w:snapToGrid w:val="0"/>
                    <w:jc w:val="center"/>
                    <w:rPr>
                      <w:color w:val="auto"/>
                      <w:szCs w:val="21"/>
                    </w:rPr>
                  </w:pPr>
                </w:p>
              </w:tc>
              <w:tc>
                <w:tcPr>
                  <w:tcW w:w="753" w:type="dxa"/>
                  <w:vAlign w:val="center"/>
                </w:tcPr>
                <w:p>
                  <w:pPr>
                    <w:adjustRightInd w:val="0"/>
                    <w:snapToGrid w:val="0"/>
                    <w:jc w:val="center"/>
                    <w:rPr>
                      <w:color w:val="auto"/>
                      <w:szCs w:val="21"/>
                    </w:rPr>
                  </w:pPr>
                  <w:r>
                    <w:rPr>
                      <w:rFonts w:hint="eastAsia"/>
                      <w:color w:val="auto"/>
                      <w:szCs w:val="21"/>
                    </w:rPr>
                    <w:t>生活污水</w:t>
                  </w:r>
                </w:p>
              </w:tc>
              <w:tc>
                <w:tcPr>
                  <w:tcW w:w="5480" w:type="dxa"/>
                  <w:vAlign w:val="center"/>
                </w:tcPr>
                <w:p>
                  <w:pPr>
                    <w:adjustRightInd w:val="0"/>
                    <w:snapToGrid w:val="0"/>
                    <w:jc w:val="center"/>
                    <w:rPr>
                      <w:color w:val="auto"/>
                      <w:szCs w:val="21"/>
                    </w:rPr>
                  </w:pPr>
                  <w:r>
                    <w:rPr>
                      <w:rFonts w:hint="eastAsia"/>
                      <w:color w:val="auto"/>
                      <w:szCs w:val="21"/>
                    </w:rPr>
                    <w:t>本项目不新增站场工作人员，少量盥洗废水洒水抑尘，站内设旱厕，粪便定期清运</w:t>
                  </w:r>
                </w:p>
              </w:tc>
              <w:tc>
                <w:tcPr>
                  <w:tcW w:w="690"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vAlign w:val="center"/>
                </w:tcPr>
                <w:p>
                  <w:pPr>
                    <w:adjustRightInd w:val="0"/>
                    <w:snapToGrid w:val="0"/>
                    <w:jc w:val="center"/>
                    <w:rPr>
                      <w:color w:val="auto"/>
                      <w:szCs w:val="21"/>
                    </w:rPr>
                  </w:pPr>
                </w:p>
              </w:tc>
              <w:tc>
                <w:tcPr>
                  <w:tcW w:w="510" w:type="dxa"/>
                  <w:vMerge w:val="restart"/>
                  <w:vAlign w:val="center"/>
                </w:tcPr>
                <w:p>
                  <w:pPr>
                    <w:adjustRightInd w:val="0"/>
                    <w:snapToGrid w:val="0"/>
                    <w:jc w:val="center"/>
                    <w:rPr>
                      <w:color w:val="auto"/>
                      <w:szCs w:val="21"/>
                    </w:rPr>
                  </w:pPr>
                  <w:r>
                    <w:rPr>
                      <w:rFonts w:hint="eastAsia"/>
                      <w:color w:val="auto"/>
                      <w:szCs w:val="21"/>
                    </w:rPr>
                    <w:t>固废</w:t>
                  </w:r>
                </w:p>
              </w:tc>
              <w:tc>
                <w:tcPr>
                  <w:tcW w:w="753" w:type="dxa"/>
                  <w:vAlign w:val="center"/>
                </w:tcPr>
                <w:p>
                  <w:pPr>
                    <w:adjustRightInd w:val="0"/>
                    <w:snapToGrid w:val="0"/>
                    <w:jc w:val="center"/>
                    <w:rPr>
                      <w:color w:val="auto"/>
                      <w:szCs w:val="21"/>
                    </w:rPr>
                  </w:pPr>
                  <w:r>
                    <w:rPr>
                      <w:rFonts w:hint="eastAsia"/>
                      <w:color w:val="auto"/>
                      <w:szCs w:val="21"/>
                    </w:rPr>
                    <w:t>含油污泥</w:t>
                  </w:r>
                </w:p>
              </w:tc>
              <w:tc>
                <w:tcPr>
                  <w:tcW w:w="5480" w:type="dxa"/>
                  <w:vAlign w:val="center"/>
                </w:tcPr>
                <w:p>
                  <w:pPr>
                    <w:adjustRightInd w:val="0"/>
                    <w:snapToGrid w:val="0"/>
                    <w:jc w:val="center"/>
                    <w:rPr>
                      <w:color w:val="auto"/>
                      <w:szCs w:val="21"/>
                    </w:rPr>
                  </w:pPr>
                  <w:r>
                    <w:rPr>
                      <w:rFonts w:hint="eastAsia"/>
                      <w:color w:val="auto"/>
                      <w:szCs w:val="21"/>
                    </w:rPr>
                    <w:t>本项目运行过程产生的含油污泥进入污水污泥罐暂存，定期委托有资质单位外运处置</w:t>
                  </w:r>
                </w:p>
              </w:tc>
              <w:tc>
                <w:tcPr>
                  <w:tcW w:w="690" w:type="dxa"/>
                  <w:vAlign w:val="center"/>
                </w:tcPr>
                <w:p>
                  <w:pPr>
                    <w:adjustRightInd w:val="0"/>
                    <w:snapToGrid w:val="0"/>
                    <w:jc w:val="center"/>
                    <w:rPr>
                      <w:color w:val="auto"/>
                      <w:szCs w:val="21"/>
                    </w:rPr>
                  </w:pPr>
                  <w:r>
                    <w:rPr>
                      <w:rFonts w:hint="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85" w:type="dxa"/>
                  <w:vMerge w:val="continue"/>
                  <w:vAlign w:val="center"/>
                </w:tcPr>
                <w:p>
                  <w:pPr>
                    <w:adjustRightInd w:val="0"/>
                    <w:snapToGrid w:val="0"/>
                    <w:jc w:val="center"/>
                    <w:rPr>
                      <w:color w:val="auto"/>
                      <w:szCs w:val="21"/>
                    </w:rPr>
                  </w:pPr>
                </w:p>
              </w:tc>
              <w:tc>
                <w:tcPr>
                  <w:tcW w:w="510" w:type="dxa"/>
                  <w:vMerge w:val="continue"/>
                  <w:vAlign w:val="center"/>
                </w:tcPr>
                <w:p>
                  <w:pPr>
                    <w:adjustRightInd w:val="0"/>
                    <w:snapToGrid w:val="0"/>
                    <w:jc w:val="center"/>
                    <w:rPr>
                      <w:color w:val="auto"/>
                      <w:szCs w:val="21"/>
                    </w:rPr>
                  </w:pPr>
                </w:p>
              </w:tc>
              <w:tc>
                <w:tcPr>
                  <w:tcW w:w="753" w:type="dxa"/>
                  <w:vAlign w:val="center"/>
                </w:tcPr>
                <w:p>
                  <w:pPr>
                    <w:adjustRightInd w:val="0"/>
                    <w:snapToGrid w:val="0"/>
                    <w:jc w:val="center"/>
                    <w:rPr>
                      <w:color w:val="auto"/>
                      <w:szCs w:val="21"/>
                    </w:rPr>
                  </w:pPr>
                  <w:r>
                    <w:rPr>
                      <w:rFonts w:hint="eastAsia"/>
                      <w:color w:val="auto"/>
                      <w:szCs w:val="21"/>
                    </w:rPr>
                    <w:t>废滤料</w:t>
                  </w:r>
                </w:p>
              </w:tc>
              <w:tc>
                <w:tcPr>
                  <w:tcW w:w="5480" w:type="dxa"/>
                  <w:vAlign w:val="center"/>
                </w:tcPr>
                <w:p>
                  <w:pPr>
                    <w:adjustRightInd w:val="0"/>
                    <w:snapToGrid w:val="0"/>
                    <w:jc w:val="center"/>
                    <w:rPr>
                      <w:color w:val="auto"/>
                      <w:szCs w:val="21"/>
                    </w:rPr>
                  </w:pPr>
                  <w:r>
                    <w:rPr>
                      <w:rFonts w:hint="eastAsia"/>
                      <w:color w:val="auto"/>
                      <w:szCs w:val="21"/>
                    </w:rPr>
                    <w:t>过滤机产生的废滤料由设备厂家更换后回收，委托有资质单位处置</w:t>
                  </w:r>
                </w:p>
              </w:tc>
              <w:tc>
                <w:tcPr>
                  <w:tcW w:w="690"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vAlign w:val="center"/>
                </w:tcPr>
                <w:p>
                  <w:pPr>
                    <w:adjustRightInd w:val="0"/>
                    <w:snapToGrid w:val="0"/>
                    <w:jc w:val="center"/>
                    <w:rPr>
                      <w:color w:val="auto"/>
                      <w:szCs w:val="21"/>
                    </w:rPr>
                  </w:pPr>
                </w:p>
              </w:tc>
              <w:tc>
                <w:tcPr>
                  <w:tcW w:w="510" w:type="dxa"/>
                  <w:vMerge w:val="continue"/>
                  <w:vAlign w:val="center"/>
                </w:tcPr>
                <w:p>
                  <w:pPr>
                    <w:adjustRightInd w:val="0"/>
                    <w:snapToGrid w:val="0"/>
                    <w:jc w:val="center"/>
                    <w:rPr>
                      <w:color w:val="auto"/>
                      <w:szCs w:val="21"/>
                    </w:rPr>
                  </w:pPr>
                </w:p>
              </w:tc>
              <w:tc>
                <w:tcPr>
                  <w:tcW w:w="753" w:type="dxa"/>
                  <w:vAlign w:val="center"/>
                </w:tcPr>
                <w:p>
                  <w:pPr>
                    <w:adjustRightInd w:val="0"/>
                    <w:snapToGrid w:val="0"/>
                    <w:jc w:val="center"/>
                    <w:rPr>
                      <w:color w:val="auto"/>
                      <w:szCs w:val="21"/>
                    </w:rPr>
                  </w:pPr>
                  <w:r>
                    <w:rPr>
                      <w:rFonts w:hint="eastAsia"/>
                      <w:color w:val="auto"/>
                      <w:szCs w:val="21"/>
                    </w:rPr>
                    <w:t>生活垃圾</w:t>
                  </w:r>
                </w:p>
              </w:tc>
              <w:tc>
                <w:tcPr>
                  <w:tcW w:w="5480" w:type="dxa"/>
                  <w:vAlign w:val="center"/>
                </w:tcPr>
                <w:p>
                  <w:pPr>
                    <w:adjustRightInd w:val="0"/>
                    <w:snapToGrid w:val="0"/>
                    <w:jc w:val="center"/>
                    <w:rPr>
                      <w:color w:val="auto"/>
                      <w:szCs w:val="21"/>
                    </w:rPr>
                  </w:pPr>
                  <w:r>
                    <w:rPr>
                      <w:rFonts w:hint="eastAsia"/>
                      <w:color w:val="auto"/>
                      <w:szCs w:val="21"/>
                    </w:rPr>
                    <w:t>本项目不新增站场工作人员，依托原有生活垃圾处理系统，设垃圾箱、垃圾桶，由项目所在作业区统一收集后送生活垃圾填埋场处置</w:t>
                  </w:r>
                </w:p>
              </w:tc>
              <w:tc>
                <w:tcPr>
                  <w:tcW w:w="690" w:type="dxa"/>
                  <w:vAlign w:val="center"/>
                </w:tcPr>
                <w:p>
                  <w:pPr>
                    <w:adjustRightInd w:val="0"/>
                    <w:snapToGrid w:val="0"/>
                    <w:jc w:val="center"/>
                    <w:rPr>
                      <w:color w:val="auto"/>
                      <w:szCs w:val="21"/>
                    </w:rPr>
                  </w:pPr>
                  <w:r>
                    <w:rPr>
                      <w:rFonts w:hint="eastAsia"/>
                      <w:color w:val="auto"/>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vAlign w:val="center"/>
                </w:tcPr>
                <w:p>
                  <w:pPr>
                    <w:adjustRightInd w:val="0"/>
                    <w:snapToGrid w:val="0"/>
                    <w:jc w:val="center"/>
                    <w:rPr>
                      <w:color w:val="auto"/>
                      <w:szCs w:val="21"/>
                    </w:rPr>
                  </w:pPr>
                </w:p>
              </w:tc>
              <w:tc>
                <w:tcPr>
                  <w:tcW w:w="510" w:type="dxa"/>
                  <w:vAlign w:val="center"/>
                </w:tcPr>
                <w:p>
                  <w:pPr>
                    <w:adjustRightInd w:val="0"/>
                    <w:snapToGrid w:val="0"/>
                    <w:jc w:val="center"/>
                    <w:rPr>
                      <w:color w:val="auto"/>
                      <w:szCs w:val="21"/>
                    </w:rPr>
                  </w:pPr>
                  <w:r>
                    <w:rPr>
                      <w:rFonts w:hint="eastAsia"/>
                      <w:color w:val="auto"/>
                      <w:szCs w:val="21"/>
                    </w:rPr>
                    <w:t>噪声</w:t>
                  </w:r>
                </w:p>
              </w:tc>
              <w:tc>
                <w:tcPr>
                  <w:tcW w:w="753" w:type="dxa"/>
                  <w:vAlign w:val="center"/>
                </w:tcPr>
                <w:p>
                  <w:pPr>
                    <w:adjustRightInd w:val="0"/>
                    <w:snapToGrid w:val="0"/>
                    <w:jc w:val="center"/>
                    <w:rPr>
                      <w:color w:val="auto"/>
                      <w:szCs w:val="21"/>
                    </w:rPr>
                  </w:pPr>
                  <w:r>
                    <w:rPr>
                      <w:rFonts w:hint="eastAsia"/>
                      <w:color w:val="auto"/>
                      <w:szCs w:val="21"/>
                    </w:rPr>
                    <w:t>各类提升泵等</w:t>
                  </w:r>
                </w:p>
              </w:tc>
              <w:tc>
                <w:tcPr>
                  <w:tcW w:w="5480" w:type="dxa"/>
                  <w:vAlign w:val="center"/>
                </w:tcPr>
                <w:p>
                  <w:pPr>
                    <w:adjustRightInd w:val="0"/>
                    <w:snapToGrid w:val="0"/>
                    <w:jc w:val="center"/>
                    <w:rPr>
                      <w:color w:val="auto"/>
                      <w:szCs w:val="21"/>
                    </w:rPr>
                  </w:pPr>
                  <w:r>
                    <w:rPr>
                      <w:rFonts w:hint="eastAsia"/>
                      <w:color w:val="auto"/>
                      <w:szCs w:val="21"/>
                    </w:rPr>
                    <w:t>选用低噪声设备，室内操作，独立基础，柔性接头，隔声减震</w:t>
                  </w:r>
                </w:p>
              </w:tc>
              <w:tc>
                <w:tcPr>
                  <w:tcW w:w="690" w:type="dxa"/>
                  <w:vAlign w:val="center"/>
                </w:tcPr>
                <w:p>
                  <w:pPr>
                    <w:adjustRightInd w:val="0"/>
                    <w:snapToGrid w:val="0"/>
                    <w:jc w:val="center"/>
                    <w:rPr>
                      <w:color w:val="auto"/>
                      <w:szCs w:val="21"/>
                    </w:rPr>
                  </w:pPr>
                  <w:r>
                    <w:rPr>
                      <w:rFonts w:hint="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依托工程</w:t>
                  </w:r>
                </w:p>
              </w:tc>
              <w:tc>
                <w:tcPr>
                  <w:tcW w:w="1263" w:type="dxa"/>
                  <w:gridSpan w:val="2"/>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回注水站</w:t>
                  </w:r>
                </w:p>
              </w:tc>
              <w:tc>
                <w:tcPr>
                  <w:tcW w:w="5480"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依托白马崾岘采油队小涧湾油区内的回注水站</w:t>
                  </w:r>
                </w:p>
              </w:tc>
              <w:tc>
                <w:tcPr>
                  <w:tcW w:w="690"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依托</w:t>
                  </w:r>
                </w:p>
              </w:tc>
            </w:tr>
          </w:tbl>
          <w:p>
            <w:pPr>
              <w:pStyle w:val="91"/>
              <w:spacing w:line="360" w:lineRule="auto"/>
              <w:ind w:firstLine="482"/>
              <w:rPr>
                <w:rFonts w:hAnsi="Times New Roman"/>
                <w:b/>
                <w:bCs/>
                <w:color w:val="auto"/>
                <w:kern w:val="0"/>
                <w:sz w:val="24"/>
              </w:rPr>
            </w:pPr>
            <w:r>
              <w:rPr>
                <w:rFonts w:hint="eastAsia" w:hAnsi="Times New Roman"/>
                <w:b/>
                <w:bCs/>
                <w:color w:val="auto"/>
                <w:kern w:val="0"/>
                <w:sz w:val="24"/>
              </w:rPr>
              <w:t>3</w:t>
            </w:r>
            <w:r>
              <w:rPr>
                <w:rFonts w:hAnsi="Times New Roman"/>
                <w:b/>
                <w:bCs/>
                <w:color w:val="auto"/>
                <w:kern w:val="0"/>
                <w:sz w:val="24"/>
              </w:rPr>
              <w:t>、主要</w:t>
            </w:r>
            <w:r>
              <w:rPr>
                <w:rFonts w:hint="eastAsia" w:hAnsi="Times New Roman"/>
                <w:b/>
                <w:bCs/>
                <w:color w:val="auto"/>
                <w:kern w:val="0"/>
                <w:sz w:val="24"/>
              </w:rPr>
              <w:t>生产设施及设施参数</w:t>
            </w:r>
          </w:p>
          <w:p>
            <w:pPr>
              <w:pStyle w:val="91"/>
              <w:spacing w:line="360" w:lineRule="auto"/>
              <w:ind w:firstLine="480"/>
              <w:rPr>
                <w:rFonts w:hAnsi="Times New Roman"/>
                <w:color w:val="auto"/>
                <w:kern w:val="0"/>
                <w:sz w:val="24"/>
              </w:rPr>
            </w:pPr>
            <w:r>
              <w:rPr>
                <w:rFonts w:hint="eastAsia" w:hAnsi="Times New Roman"/>
                <w:color w:val="auto"/>
                <w:kern w:val="0"/>
                <w:sz w:val="24"/>
              </w:rPr>
              <w:t>单座300m³/d的移动式撬装污水处理站建设内容主要有：1具埋地卸水箱、1具埋地污水污泥罐、2具缓冲水箱（100m³高低子母箱）、2具净化水箱（100m³高低子母箱）、1套含油污水处理装置（含一级加药装置撬、二级净化处理装置撬、三级过滤装置撬等）、1座综合值班橇、1台柱上变及其他配套设施。</w:t>
            </w:r>
          </w:p>
          <w:p>
            <w:pPr>
              <w:pStyle w:val="91"/>
              <w:spacing w:line="360" w:lineRule="auto"/>
              <w:ind w:firstLine="480"/>
              <w:rPr>
                <w:rFonts w:hAnsi="Times New Roman"/>
                <w:color w:val="auto"/>
                <w:kern w:val="0"/>
                <w:sz w:val="24"/>
              </w:rPr>
            </w:pPr>
            <w:r>
              <w:rPr>
                <w:rFonts w:hint="eastAsia" w:hAnsi="Times New Roman"/>
                <w:color w:val="auto"/>
                <w:kern w:val="0"/>
                <w:sz w:val="24"/>
              </w:rPr>
              <w:t>单座600m³/d的移动式撬装污水处理站建设内容主要有：1具埋地卸水箱、1具埋地污水污泥罐、4具缓冲水箱（100m³高低子母箱）、4具净化水箱（100m³高低子母箱）、1套含油污水处理装置（含一级加药装置撬、二级净化处理装置撬、2个三级过滤装置撬等）、1座综合值班橇、1台柱上变及其他配套设施。</w:t>
            </w:r>
          </w:p>
          <w:p>
            <w:pPr>
              <w:pStyle w:val="91"/>
              <w:spacing w:line="360" w:lineRule="auto"/>
              <w:ind w:firstLine="480"/>
              <w:rPr>
                <w:rFonts w:hAnsi="Times New Roman"/>
                <w:color w:val="auto"/>
                <w:kern w:val="0"/>
                <w:sz w:val="24"/>
              </w:rPr>
            </w:pPr>
            <w:r>
              <w:rPr>
                <w:rFonts w:hAnsi="Times New Roman"/>
                <w:color w:val="auto"/>
                <w:kern w:val="0"/>
                <w:sz w:val="24"/>
              </w:rPr>
              <w:t>项目主要设备清单见表</w:t>
            </w:r>
            <w:r>
              <w:rPr>
                <w:rFonts w:hint="eastAsia" w:hAnsi="Times New Roman"/>
                <w:color w:val="auto"/>
                <w:kern w:val="0"/>
                <w:sz w:val="24"/>
              </w:rPr>
              <w:t>2-5和表2-6</w:t>
            </w:r>
            <w:r>
              <w:rPr>
                <w:rFonts w:hAnsi="Times New Roman"/>
                <w:color w:val="auto"/>
                <w:kern w:val="0"/>
                <w:sz w:val="24"/>
              </w:rPr>
              <w:t>。</w:t>
            </w:r>
          </w:p>
          <w:p>
            <w:pPr>
              <w:pStyle w:val="33"/>
              <w:ind w:firstLine="2100" w:firstLineChars="1000"/>
              <w:rPr>
                <w:rFonts w:ascii="黑体" w:hAnsi="黑体" w:eastAsia="黑体" w:cs="黑体"/>
                <w:color w:val="auto"/>
                <w:sz w:val="21"/>
              </w:rPr>
            </w:pPr>
            <w:r>
              <w:rPr>
                <w:rFonts w:hint="eastAsia" w:ascii="黑体" w:hAnsi="黑体" w:eastAsia="黑体" w:cs="黑体"/>
                <w:color w:val="auto"/>
                <w:sz w:val="21"/>
              </w:rPr>
              <w:t>表2-5  300m³/d处理站主要设备</w:t>
            </w:r>
            <w:r>
              <w:rPr>
                <w:rFonts w:hint="eastAsia" w:ascii="黑体" w:hAnsi="黑体" w:eastAsia="黑体" w:cs="黑体"/>
                <w:color w:val="auto"/>
                <w:spacing w:val="-3"/>
                <w:sz w:val="21"/>
              </w:rPr>
              <w:t>选</w:t>
            </w:r>
            <w:r>
              <w:rPr>
                <w:rFonts w:hint="eastAsia" w:ascii="黑体" w:hAnsi="黑体" w:eastAsia="黑体" w:cs="黑体"/>
                <w:color w:val="auto"/>
                <w:sz w:val="21"/>
              </w:rPr>
              <w:t>型一览表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065"/>
              <w:gridCol w:w="4687"/>
              <w:gridCol w:w="735"/>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pStyle w:val="12"/>
                    <w:adjustRightInd w:val="0"/>
                    <w:snapToGrid w:val="0"/>
                    <w:spacing w:after="0"/>
                    <w:ind w:left="0" w:leftChars="0"/>
                    <w:jc w:val="center"/>
                    <w:rPr>
                      <w:color w:val="auto"/>
                      <w:sz w:val="21"/>
                      <w:szCs w:val="21"/>
                    </w:rPr>
                  </w:pPr>
                  <w:r>
                    <w:rPr>
                      <w:color w:val="auto"/>
                      <w:sz w:val="21"/>
                      <w:szCs w:val="21"/>
                    </w:rPr>
                    <w:t>序号</w:t>
                  </w:r>
                </w:p>
              </w:tc>
              <w:tc>
                <w:tcPr>
                  <w:tcW w:w="1065" w:type="dxa"/>
                  <w:vAlign w:val="center"/>
                </w:tcPr>
                <w:p>
                  <w:pPr>
                    <w:pStyle w:val="12"/>
                    <w:adjustRightInd w:val="0"/>
                    <w:snapToGrid w:val="0"/>
                    <w:spacing w:after="0"/>
                    <w:ind w:left="0" w:leftChars="0"/>
                    <w:jc w:val="center"/>
                    <w:rPr>
                      <w:color w:val="auto"/>
                      <w:sz w:val="21"/>
                      <w:szCs w:val="21"/>
                    </w:rPr>
                  </w:pPr>
                  <w:r>
                    <w:rPr>
                      <w:color w:val="auto"/>
                      <w:sz w:val="21"/>
                      <w:szCs w:val="21"/>
                    </w:rPr>
                    <w:t>设备名称</w:t>
                  </w:r>
                </w:p>
              </w:tc>
              <w:tc>
                <w:tcPr>
                  <w:tcW w:w="4687" w:type="dxa"/>
                  <w:vAlign w:val="center"/>
                </w:tcPr>
                <w:p>
                  <w:pPr>
                    <w:pStyle w:val="12"/>
                    <w:adjustRightInd w:val="0"/>
                    <w:snapToGrid w:val="0"/>
                    <w:spacing w:after="0"/>
                    <w:ind w:left="0" w:leftChars="0"/>
                    <w:jc w:val="center"/>
                    <w:rPr>
                      <w:color w:val="auto"/>
                      <w:sz w:val="21"/>
                      <w:szCs w:val="21"/>
                    </w:rPr>
                  </w:pPr>
                  <w:r>
                    <w:rPr>
                      <w:color w:val="auto"/>
                      <w:sz w:val="21"/>
                      <w:szCs w:val="21"/>
                    </w:rPr>
                    <w:t>规格参数</w:t>
                  </w:r>
                </w:p>
              </w:tc>
              <w:tc>
                <w:tcPr>
                  <w:tcW w:w="735" w:type="dxa"/>
                  <w:vAlign w:val="center"/>
                </w:tcPr>
                <w:p>
                  <w:pPr>
                    <w:pStyle w:val="12"/>
                    <w:adjustRightInd w:val="0"/>
                    <w:snapToGrid w:val="0"/>
                    <w:spacing w:after="0"/>
                    <w:ind w:left="0" w:leftChars="0"/>
                    <w:jc w:val="center"/>
                    <w:rPr>
                      <w:color w:val="auto"/>
                      <w:sz w:val="21"/>
                      <w:szCs w:val="21"/>
                    </w:rPr>
                  </w:pPr>
                  <w:r>
                    <w:rPr>
                      <w:color w:val="auto"/>
                      <w:sz w:val="21"/>
                      <w:szCs w:val="21"/>
                    </w:rPr>
                    <w:t>数量</w:t>
                  </w:r>
                </w:p>
              </w:tc>
              <w:tc>
                <w:tcPr>
                  <w:tcW w:w="928"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1</w:t>
                  </w:r>
                </w:p>
              </w:tc>
              <w:tc>
                <w:tcPr>
                  <w:tcW w:w="1065" w:type="dxa"/>
                  <w:vAlign w:val="center"/>
                </w:tcPr>
                <w:p>
                  <w:pPr>
                    <w:adjustRightInd w:val="0"/>
                    <w:snapToGrid w:val="0"/>
                    <w:jc w:val="center"/>
                    <w:rPr>
                      <w:color w:val="auto"/>
                      <w:szCs w:val="21"/>
                    </w:rPr>
                  </w:pPr>
                  <w:r>
                    <w:rPr>
                      <w:rFonts w:hint="eastAsia"/>
                      <w:color w:val="auto"/>
                      <w:szCs w:val="21"/>
                    </w:rPr>
                    <w:t>卸水箱</w:t>
                  </w:r>
                </w:p>
              </w:tc>
              <w:tc>
                <w:tcPr>
                  <w:tcW w:w="4687" w:type="dxa"/>
                  <w:vAlign w:val="center"/>
                </w:tcPr>
                <w:p>
                  <w:pPr>
                    <w:adjustRightInd w:val="0"/>
                    <w:snapToGrid w:val="0"/>
                    <w:jc w:val="center"/>
                    <w:rPr>
                      <w:color w:val="auto"/>
                      <w:szCs w:val="21"/>
                    </w:rPr>
                  </w:pPr>
                  <w:r>
                    <w:rPr>
                      <w:rFonts w:hint="eastAsia"/>
                      <w:color w:val="auto"/>
                      <w:szCs w:val="21"/>
                    </w:rPr>
                    <w:t>9950mm×2800mm×2700mm，两级</w:t>
                  </w:r>
                </w:p>
              </w:tc>
              <w:tc>
                <w:tcPr>
                  <w:tcW w:w="735" w:type="dxa"/>
                  <w:vAlign w:val="center"/>
                </w:tcPr>
                <w:p>
                  <w:pPr>
                    <w:adjustRightInd w:val="0"/>
                    <w:snapToGrid w:val="0"/>
                    <w:jc w:val="center"/>
                    <w:rPr>
                      <w:color w:val="auto"/>
                      <w:szCs w:val="21"/>
                    </w:rPr>
                  </w:pPr>
                  <w:r>
                    <w:rPr>
                      <w:rFonts w:hint="eastAsia"/>
                      <w:color w:val="auto"/>
                      <w:szCs w:val="21"/>
                    </w:rPr>
                    <w:t>1台</w:t>
                  </w:r>
                </w:p>
              </w:tc>
              <w:tc>
                <w:tcPr>
                  <w:tcW w:w="928"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2</w:t>
                  </w:r>
                </w:p>
              </w:tc>
              <w:tc>
                <w:tcPr>
                  <w:tcW w:w="1065" w:type="dxa"/>
                  <w:vAlign w:val="center"/>
                </w:tcPr>
                <w:p>
                  <w:pPr>
                    <w:adjustRightInd w:val="0"/>
                    <w:snapToGrid w:val="0"/>
                    <w:jc w:val="center"/>
                    <w:rPr>
                      <w:color w:val="auto"/>
                      <w:szCs w:val="21"/>
                    </w:rPr>
                  </w:pPr>
                  <w:r>
                    <w:rPr>
                      <w:rFonts w:hint="eastAsia"/>
                      <w:color w:val="auto"/>
                      <w:szCs w:val="21"/>
                    </w:rPr>
                    <w:t>卸水池提升泵</w:t>
                  </w:r>
                </w:p>
              </w:tc>
              <w:tc>
                <w:tcPr>
                  <w:tcW w:w="4687" w:type="dxa"/>
                  <w:vAlign w:val="center"/>
                </w:tcPr>
                <w:p>
                  <w:pPr>
                    <w:adjustRightInd w:val="0"/>
                    <w:snapToGrid w:val="0"/>
                    <w:jc w:val="center"/>
                    <w:rPr>
                      <w:color w:val="auto"/>
                      <w:szCs w:val="21"/>
                    </w:rPr>
                  </w:pPr>
                  <w:r>
                    <w:rPr>
                      <w:rFonts w:hint="eastAsia"/>
                      <w:color w:val="auto"/>
                      <w:szCs w:val="21"/>
                    </w:rPr>
                    <w:t>Q=45m³/h，H=25m，N=7.5kW，</w:t>
                  </w:r>
                  <w:r>
                    <w:rPr>
                      <w:rFonts w:hint="eastAsia"/>
                      <w:snapToGrid w:val="0"/>
                      <w:color w:val="auto"/>
                      <w:szCs w:val="21"/>
                    </w:rPr>
                    <w:t>扬程不小于7m</w:t>
                  </w:r>
                </w:p>
                <w:p>
                  <w:pPr>
                    <w:adjustRightInd w:val="0"/>
                    <w:snapToGrid w:val="0"/>
                    <w:jc w:val="center"/>
                    <w:rPr>
                      <w:color w:val="auto"/>
                      <w:szCs w:val="21"/>
                    </w:rPr>
                  </w:pPr>
                  <w:r>
                    <w:rPr>
                      <w:rFonts w:hint="eastAsia"/>
                      <w:color w:val="auto"/>
                      <w:szCs w:val="21"/>
                    </w:rPr>
                    <w:t>防爆电机，附带滤网，过流面材质为PPR</w:t>
                  </w:r>
                </w:p>
              </w:tc>
              <w:tc>
                <w:tcPr>
                  <w:tcW w:w="735" w:type="dxa"/>
                  <w:vAlign w:val="center"/>
                </w:tcPr>
                <w:p>
                  <w:pPr>
                    <w:adjustRightInd w:val="0"/>
                    <w:snapToGrid w:val="0"/>
                    <w:jc w:val="center"/>
                    <w:rPr>
                      <w:color w:val="auto"/>
                      <w:szCs w:val="21"/>
                    </w:rPr>
                  </w:pPr>
                  <w:r>
                    <w:rPr>
                      <w:rFonts w:hint="eastAsia"/>
                      <w:color w:val="auto"/>
                      <w:szCs w:val="21"/>
                    </w:rPr>
                    <w:t>1用1备</w:t>
                  </w:r>
                </w:p>
              </w:tc>
              <w:tc>
                <w:tcPr>
                  <w:tcW w:w="928"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3</w:t>
                  </w:r>
                </w:p>
              </w:tc>
              <w:tc>
                <w:tcPr>
                  <w:tcW w:w="1065" w:type="dxa"/>
                  <w:vAlign w:val="center"/>
                </w:tcPr>
                <w:p>
                  <w:pPr>
                    <w:adjustRightInd w:val="0"/>
                    <w:snapToGrid w:val="0"/>
                    <w:jc w:val="center"/>
                    <w:rPr>
                      <w:color w:val="auto"/>
                      <w:szCs w:val="21"/>
                    </w:rPr>
                  </w:pPr>
                  <w:r>
                    <w:rPr>
                      <w:rFonts w:hint="eastAsia"/>
                      <w:color w:val="auto"/>
                      <w:szCs w:val="21"/>
                    </w:rPr>
                    <w:t>缓冲水箱</w:t>
                  </w:r>
                </w:p>
              </w:tc>
              <w:tc>
                <w:tcPr>
                  <w:tcW w:w="4687" w:type="dxa"/>
                  <w:vAlign w:val="center"/>
                </w:tcPr>
                <w:p>
                  <w:pPr>
                    <w:adjustRightInd w:val="0"/>
                    <w:snapToGrid w:val="0"/>
                    <w:jc w:val="center"/>
                    <w:rPr>
                      <w:color w:val="auto"/>
                      <w:szCs w:val="21"/>
                    </w:rPr>
                  </w:pPr>
                  <w:r>
                    <w:rPr>
                      <w:rFonts w:hint="eastAsia"/>
                      <w:color w:val="auto"/>
                      <w:szCs w:val="21"/>
                    </w:rPr>
                    <w:t>上下结构：</w:t>
                  </w:r>
                </w:p>
                <w:p>
                  <w:pPr>
                    <w:adjustRightInd w:val="0"/>
                    <w:snapToGrid w:val="0"/>
                    <w:jc w:val="center"/>
                    <w:rPr>
                      <w:color w:val="auto"/>
                      <w:szCs w:val="21"/>
                    </w:rPr>
                  </w:pPr>
                  <w:r>
                    <w:rPr>
                      <w:rFonts w:hint="eastAsia"/>
                      <w:color w:val="auto"/>
                      <w:szCs w:val="21"/>
                    </w:rPr>
                    <w:t>上层水箱尺寸：L×B×H=8950mm×2300mm×2200mm；</w:t>
                  </w:r>
                </w:p>
                <w:p>
                  <w:pPr>
                    <w:adjustRightInd w:val="0"/>
                    <w:snapToGrid w:val="0"/>
                    <w:jc w:val="center"/>
                    <w:rPr>
                      <w:color w:val="auto"/>
                      <w:szCs w:val="21"/>
                    </w:rPr>
                  </w:pPr>
                  <w:r>
                    <w:rPr>
                      <w:rFonts w:hint="eastAsia"/>
                      <w:color w:val="auto"/>
                      <w:szCs w:val="21"/>
                    </w:rPr>
                    <w:t>下层水箱尺寸：L×B×H=9950mm×2800mm×2700mm</w:t>
                  </w:r>
                </w:p>
              </w:tc>
              <w:tc>
                <w:tcPr>
                  <w:tcW w:w="735" w:type="dxa"/>
                  <w:vAlign w:val="center"/>
                </w:tcPr>
                <w:p>
                  <w:pPr>
                    <w:adjustRightInd w:val="0"/>
                    <w:snapToGrid w:val="0"/>
                    <w:jc w:val="center"/>
                    <w:rPr>
                      <w:color w:val="auto"/>
                      <w:szCs w:val="21"/>
                    </w:rPr>
                  </w:pPr>
                  <w:r>
                    <w:rPr>
                      <w:rFonts w:hint="eastAsia"/>
                      <w:color w:val="auto"/>
                      <w:szCs w:val="21"/>
                    </w:rPr>
                    <w:t>2台</w:t>
                  </w:r>
                </w:p>
              </w:tc>
              <w:tc>
                <w:tcPr>
                  <w:tcW w:w="928"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4</w:t>
                  </w:r>
                </w:p>
              </w:tc>
              <w:tc>
                <w:tcPr>
                  <w:tcW w:w="1065" w:type="dxa"/>
                  <w:vAlign w:val="center"/>
                </w:tcPr>
                <w:p>
                  <w:pPr>
                    <w:adjustRightInd w:val="0"/>
                    <w:snapToGrid w:val="0"/>
                    <w:jc w:val="center"/>
                    <w:rPr>
                      <w:color w:val="auto"/>
                      <w:szCs w:val="21"/>
                    </w:rPr>
                  </w:pPr>
                  <w:r>
                    <w:rPr>
                      <w:rFonts w:hint="eastAsia"/>
                      <w:color w:val="auto"/>
                      <w:szCs w:val="21"/>
                    </w:rPr>
                    <w:t>缓冲水箱提升泵</w:t>
                  </w:r>
                </w:p>
              </w:tc>
              <w:tc>
                <w:tcPr>
                  <w:tcW w:w="4687" w:type="dxa"/>
                  <w:vAlign w:val="center"/>
                </w:tcPr>
                <w:p>
                  <w:pPr>
                    <w:adjustRightInd w:val="0"/>
                    <w:snapToGrid w:val="0"/>
                    <w:jc w:val="center"/>
                    <w:rPr>
                      <w:color w:val="auto"/>
                      <w:szCs w:val="21"/>
                    </w:rPr>
                  </w:pPr>
                  <w:r>
                    <w:rPr>
                      <w:rFonts w:hint="eastAsia"/>
                      <w:color w:val="auto"/>
                      <w:szCs w:val="21"/>
                    </w:rPr>
                    <w:t>Q=15m³/h，H=25m，N=4.0kW</w:t>
                  </w:r>
                </w:p>
                <w:p>
                  <w:pPr>
                    <w:adjustRightInd w:val="0"/>
                    <w:snapToGrid w:val="0"/>
                    <w:jc w:val="center"/>
                    <w:rPr>
                      <w:color w:val="auto"/>
                      <w:szCs w:val="21"/>
                    </w:rPr>
                  </w:pPr>
                  <w:r>
                    <w:rPr>
                      <w:rFonts w:hint="eastAsia"/>
                      <w:color w:val="auto"/>
                      <w:szCs w:val="21"/>
                    </w:rPr>
                    <w:t>防爆电机，附带滤网，过流面材质为PPR</w:t>
                  </w:r>
                </w:p>
              </w:tc>
              <w:tc>
                <w:tcPr>
                  <w:tcW w:w="735" w:type="dxa"/>
                  <w:vAlign w:val="center"/>
                </w:tcPr>
                <w:p>
                  <w:pPr>
                    <w:adjustRightInd w:val="0"/>
                    <w:snapToGrid w:val="0"/>
                    <w:jc w:val="center"/>
                    <w:rPr>
                      <w:color w:val="auto"/>
                      <w:szCs w:val="21"/>
                    </w:rPr>
                  </w:pPr>
                  <w:r>
                    <w:rPr>
                      <w:rFonts w:hint="eastAsia"/>
                      <w:color w:val="auto"/>
                      <w:szCs w:val="21"/>
                    </w:rPr>
                    <w:t>2用1备</w:t>
                  </w:r>
                </w:p>
              </w:tc>
              <w:tc>
                <w:tcPr>
                  <w:tcW w:w="928"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5</w:t>
                  </w:r>
                </w:p>
              </w:tc>
              <w:tc>
                <w:tcPr>
                  <w:tcW w:w="1065" w:type="dxa"/>
                  <w:vAlign w:val="center"/>
                </w:tcPr>
                <w:p>
                  <w:pPr>
                    <w:adjustRightInd w:val="0"/>
                    <w:snapToGrid w:val="0"/>
                    <w:jc w:val="center"/>
                    <w:rPr>
                      <w:color w:val="auto"/>
                      <w:szCs w:val="21"/>
                      <w:lang w:val="zh-CN"/>
                    </w:rPr>
                  </w:pPr>
                  <w:r>
                    <w:rPr>
                      <w:rFonts w:hint="eastAsia"/>
                      <w:color w:val="auto"/>
                      <w:szCs w:val="21"/>
                    </w:rPr>
                    <w:t>污水处理装置</w:t>
                  </w:r>
                </w:p>
              </w:tc>
              <w:tc>
                <w:tcPr>
                  <w:tcW w:w="4687" w:type="dxa"/>
                  <w:vAlign w:val="center"/>
                </w:tcPr>
                <w:p>
                  <w:pPr>
                    <w:adjustRightInd w:val="0"/>
                    <w:snapToGrid w:val="0"/>
                    <w:jc w:val="center"/>
                    <w:rPr>
                      <w:color w:val="auto"/>
                      <w:szCs w:val="21"/>
                    </w:rPr>
                  </w:pPr>
                  <w:r>
                    <w:rPr>
                      <w:rFonts w:hint="eastAsia"/>
                      <w:color w:val="auto"/>
                      <w:szCs w:val="21"/>
                    </w:rPr>
                    <w:t>分三座撬装设备，总处理规模：300m³/d，一二级撬处理规模为600m³/d，三级撬处理规模为300m³/d。</w:t>
                  </w:r>
                </w:p>
                <w:p>
                  <w:pPr>
                    <w:adjustRightInd w:val="0"/>
                    <w:snapToGrid w:val="0"/>
                    <w:jc w:val="center"/>
                    <w:rPr>
                      <w:color w:val="auto"/>
                      <w:szCs w:val="21"/>
                      <w:lang w:val="zh-CN"/>
                    </w:rPr>
                  </w:pPr>
                  <w:r>
                    <w:rPr>
                      <w:rFonts w:hint="eastAsia"/>
                      <w:color w:val="auto"/>
                      <w:szCs w:val="21"/>
                    </w:rPr>
                    <w:t>三座撬主要包括加药撬(罐、泵)、净化撬（压力式高效混凝反应器、净化水装置）、过滤撬（粗过滤器、精细过滤装置和高精度过滤器）及配套管阀、防爆变频控制柜等。单座尺寸：长12m×宽2.44m×高2.6m。</w:t>
                  </w:r>
                </w:p>
              </w:tc>
              <w:tc>
                <w:tcPr>
                  <w:tcW w:w="735" w:type="dxa"/>
                  <w:vAlign w:val="center"/>
                </w:tcPr>
                <w:p>
                  <w:pPr>
                    <w:adjustRightInd w:val="0"/>
                    <w:snapToGrid w:val="0"/>
                    <w:jc w:val="center"/>
                    <w:rPr>
                      <w:color w:val="auto"/>
                      <w:szCs w:val="21"/>
                    </w:rPr>
                  </w:pPr>
                  <w:r>
                    <w:rPr>
                      <w:rFonts w:hint="eastAsia"/>
                      <w:color w:val="auto"/>
                      <w:szCs w:val="21"/>
                    </w:rPr>
                    <w:t>1套</w:t>
                  </w:r>
                </w:p>
              </w:tc>
              <w:tc>
                <w:tcPr>
                  <w:tcW w:w="928"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6</w:t>
                  </w:r>
                </w:p>
              </w:tc>
              <w:tc>
                <w:tcPr>
                  <w:tcW w:w="1065" w:type="dxa"/>
                  <w:vAlign w:val="center"/>
                </w:tcPr>
                <w:p>
                  <w:pPr>
                    <w:adjustRightInd w:val="0"/>
                    <w:snapToGrid w:val="0"/>
                    <w:jc w:val="center"/>
                    <w:rPr>
                      <w:color w:val="auto"/>
                      <w:szCs w:val="21"/>
                      <w:lang w:val="zh-CN"/>
                    </w:rPr>
                  </w:pPr>
                  <w:r>
                    <w:rPr>
                      <w:rFonts w:hint="eastAsia"/>
                      <w:color w:val="auto"/>
                      <w:szCs w:val="21"/>
                    </w:rPr>
                    <w:t>净化水箱</w:t>
                  </w:r>
                </w:p>
              </w:tc>
              <w:tc>
                <w:tcPr>
                  <w:tcW w:w="4687" w:type="dxa"/>
                  <w:vAlign w:val="center"/>
                </w:tcPr>
                <w:p>
                  <w:pPr>
                    <w:adjustRightInd w:val="0"/>
                    <w:snapToGrid w:val="0"/>
                    <w:jc w:val="center"/>
                    <w:rPr>
                      <w:color w:val="auto"/>
                      <w:szCs w:val="21"/>
                    </w:rPr>
                  </w:pPr>
                  <w:r>
                    <w:rPr>
                      <w:rFonts w:hint="eastAsia"/>
                      <w:color w:val="auto"/>
                      <w:szCs w:val="21"/>
                    </w:rPr>
                    <w:t>上下结构：</w:t>
                  </w:r>
                </w:p>
                <w:p>
                  <w:pPr>
                    <w:adjustRightInd w:val="0"/>
                    <w:snapToGrid w:val="0"/>
                    <w:jc w:val="center"/>
                    <w:rPr>
                      <w:color w:val="auto"/>
                      <w:szCs w:val="21"/>
                      <w:lang w:val="zh-CN"/>
                    </w:rPr>
                  </w:pPr>
                  <w:r>
                    <w:rPr>
                      <w:rFonts w:hint="eastAsia"/>
                      <w:color w:val="auto"/>
                      <w:szCs w:val="21"/>
                    </w:rPr>
                    <w:t>上层水箱尺寸：L×B×H=8950mm×2300mm×2200mm；下层水箱尺寸：L×B×H=9950mm×2800mm×2700mm</w:t>
                  </w:r>
                </w:p>
              </w:tc>
              <w:tc>
                <w:tcPr>
                  <w:tcW w:w="735" w:type="dxa"/>
                  <w:vAlign w:val="center"/>
                </w:tcPr>
                <w:p>
                  <w:pPr>
                    <w:adjustRightInd w:val="0"/>
                    <w:snapToGrid w:val="0"/>
                    <w:jc w:val="center"/>
                    <w:rPr>
                      <w:color w:val="auto"/>
                      <w:szCs w:val="21"/>
                    </w:rPr>
                  </w:pPr>
                  <w:r>
                    <w:rPr>
                      <w:rFonts w:hint="eastAsia"/>
                      <w:color w:val="auto"/>
                      <w:szCs w:val="21"/>
                    </w:rPr>
                    <w:t>2台</w:t>
                  </w:r>
                </w:p>
              </w:tc>
              <w:tc>
                <w:tcPr>
                  <w:tcW w:w="928"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7</w:t>
                  </w:r>
                </w:p>
              </w:tc>
              <w:tc>
                <w:tcPr>
                  <w:tcW w:w="1065" w:type="dxa"/>
                  <w:vAlign w:val="center"/>
                </w:tcPr>
                <w:p>
                  <w:pPr>
                    <w:adjustRightInd w:val="0"/>
                    <w:snapToGrid w:val="0"/>
                    <w:jc w:val="center"/>
                    <w:rPr>
                      <w:color w:val="auto"/>
                      <w:szCs w:val="21"/>
                      <w:lang w:val="zh-CN"/>
                    </w:rPr>
                  </w:pPr>
                  <w:r>
                    <w:rPr>
                      <w:rFonts w:hint="eastAsia"/>
                      <w:color w:val="auto"/>
                      <w:szCs w:val="21"/>
                    </w:rPr>
                    <w:t>埋地式污油泥回收罐</w:t>
                  </w:r>
                </w:p>
              </w:tc>
              <w:tc>
                <w:tcPr>
                  <w:tcW w:w="4687" w:type="dxa"/>
                  <w:vAlign w:val="center"/>
                </w:tcPr>
                <w:p>
                  <w:pPr>
                    <w:adjustRightInd w:val="0"/>
                    <w:snapToGrid w:val="0"/>
                    <w:jc w:val="center"/>
                    <w:rPr>
                      <w:color w:val="auto"/>
                      <w:szCs w:val="21"/>
                    </w:rPr>
                  </w:pPr>
                  <w:r>
                    <w:rPr>
                      <w:rFonts w:hint="eastAsia"/>
                      <w:color w:val="auto"/>
                      <w:szCs w:val="21"/>
                    </w:rPr>
                    <w:t>容积为30m³，尺寸为：6m×2.25m×2.25m，钢制碳钢</w:t>
                  </w:r>
                </w:p>
              </w:tc>
              <w:tc>
                <w:tcPr>
                  <w:tcW w:w="735" w:type="dxa"/>
                  <w:vAlign w:val="center"/>
                </w:tcPr>
                <w:p>
                  <w:pPr>
                    <w:adjustRightInd w:val="0"/>
                    <w:snapToGrid w:val="0"/>
                    <w:jc w:val="center"/>
                    <w:rPr>
                      <w:color w:val="auto"/>
                      <w:szCs w:val="21"/>
                    </w:rPr>
                  </w:pPr>
                  <w:r>
                    <w:rPr>
                      <w:rFonts w:hint="eastAsia"/>
                      <w:color w:val="auto"/>
                      <w:szCs w:val="21"/>
                    </w:rPr>
                    <w:t>1台</w:t>
                  </w:r>
                </w:p>
              </w:tc>
              <w:tc>
                <w:tcPr>
                  <w:tcW w:w="928"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8</w:t>
                  </w:r>
                </w:p>
              </w:tc>
              <w:tc>
                <w:tcPr>
                  <w:tcW w:w="1065" w:type="dxa"/>
                  <w:vAlign w:val="center"/>
                </w:tcPr>
                <w:p>
                  <w:pPr>
                    <w:adjustRightInd w:val="0"/>
                    <w:snapToGrid w:val="0"/>
                    <w:jc w:val="center"/>
                    <w:rPr>
                      <w:color w:val="auto"/>
                      <w:szCs w:val="21"/>
                    </w:rPr>
                  </w:pPr>
                  <w:r>
                    <w:rPr>
                      <w:rFonts w:hint="eastAsia"/>
                      <w:color w:val="auto"/>
                      <w:szCs w:val="21"/>
                    </w:rPr>
                    <w:t>防爆污泥泵</w:t>
                  </w:r>
                </w:p>
              </w:tc>
              <w:tc>
                <w:tcPr>
                  <w:tcW w:w="4687" w:type="dxa"/>
                  <w:vAlign w:val="center"/>
                </w:tcPr>
                <w:p>
                  <w:pPr>
                    <w:adjustRightInd w:val="0"/>
                    <w:snapToGrid w:val="0"/>
                    <w:jc w:val="center"/>
                    <w:rPr>
                      <w:color w:val="auto"/>
                      <w:szCs w:val="21"/>
                    </w:rPr>
                  </w:pPr>
                  <w:r>
                    <w:rPr>
                      <w:rFonts w:hint="eastAsia"/>
                      <w:color w:val="auto"/>
                      <w:szCs w:val="21"/>
                    </w:rPr>
                    <w:t>Q=20m³/h，H=25m，N=4.0kW</w:t>
                  </w:r>
                </w:p>
                <w:p>
                  <w:pPr>
                    <w:adjustRightInd w:val="0"/>
                    <w:snapToGrid w:val="0"/>
                    <w:jc w:val="center"/>
                    <w:rPr>
                      <w:color w:val="auto"/>
                      <w:szCs w:val="21"/>
                    </w:rPr>
                  </w:pPr>
                  <w:r>
                    <w:rPr>
                      <w:rFonts w:hint="eastAsia"/>
                      <w:color w:val="auto"/>
                      <w:szCs w:val="21"/>
                    </w:rPr>
                    <w:t>防爆电机，附带滤网，过流面材质为PPR</w:t>
                  </w:r>
                </w:p>
              </w:tc>
              <w:tc>
                <w:tcPr>
                  <w:tcW w:w="735" w:type="dxa"/>
                  <w:vAlign w:val="center"/>
                </w:tcPr>
                <w:p>
                  <w:pPr>
                    <w:adjustRightInd w:val="0"/>
                    <w:snapToGrid w:val="0"/>
                    <w:jc w:val="center"/>
                    <w:rPr>
                      <w:color w:val="auto"/>
                      <w:szCs w:val="21"/>
                      <w:lang w:val="zh-CN"/>
                    </w:rPr>
                  </w:pPr>
                  <w:r>
                    <w:rPr>
                      <w:rFonts w:hint="eastAsia"/>
                      <w:color w:val="auto"/>
                      <w:szCs w:val="21"/>
                    </w:rPr>
                    <w:t>1用1备</w:t>
                  </w:r>
                </w:p>
              </w:tc>
              <w:tc>
                <w:tcPr>
                  <w:tcW w:w="928"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Merge w:val="restart"/>
                  <w:vAlign w:val="center"/>
                </w:tcPr>
                <w:p>
                  <w:pPr>
                    <w:adjustRightInd w:val="0"/>
                    <w:snapToGrid w:val="0"/>
                    <w:jc w:val="center"/>
                    <w:rPr>
                      <w:color w:val="auto"/>
                      <w:szCs w:val="21"/>
                    </w:rPr>
                  </w:pPr>
                  <w:r>
                    <w:rPr>
                      <w:rFonts w:hint="eastAsia"/>
                      <w:color w:val="auto"/>
                      <w:szCs w:val="21"/>
                    </w:rPr>
                    <w:t>9</w:t>
                  </w:r>
                </w:p>
              </w:tc>
              <w:tc>
                <w:tcPr>
                  <w:tcW w:w="1065" w:type="dxa"/>
                  <w:vMerge w:val="restart"/>
                  <w:vAlign w:val="center"/>
                </w:tcPr>
                <w:p>
                  <w:pPr>
                    <w:adjustRightInd w:val="0"/>
                    <w:snapToGrid w:val="0"/>
                    <w:jc w:val="center"/>
                    <w:rPr>
                      <w:color w:val="auto"/>
                      <w:szCs w:val="21"/>
                      <w:lang w:val="zh-CN"/>
                    </w:rPr>
                  </w:pPr>
                  <w:r>
                    <w:rPr>
                      <w:rFonts w:hint="eastAsia"/>
                      <w:color w:val="auto"/>
                      <w:szCs w:val="21"/>
                    </w:rPr>
                    <w:t>室外管网</w:t>
                  </w:r>
                </w:p>
              </w:tc>
              <w:tc>
                <w:tcPr>
                  <w:tcW w:w="4687" w:type="dxa"/>
                  <w:vAlign w:val="center"/>
                </w:tcPr>
                <w:p>
                  <w:pPr>
                    <w:adjustRightInd w:val="0"/>
                    <w:snapToGrid w:val="0"/>
                    <w:jc w:val="center"/>
                    <w:rPr>
                      <w:color w:val="auto"/>
                      <w:szCs w:val="21"/>
                      <w:lang w:val="zh-CN"/>
                    </w:rPr>
                  </w:pPr>
                  <w:r>
                    <w:rPr>
                      <w:rFonts w:hint="eastAsia"/>
                      <w:color w:val="auto"/>
                      <w:szCs w:val="21"/>
                    </w:rPr>
                    <w:t>无缝钢管20-D114×5</w:t>
                  </w:r>
                </w:p>
              </w:tc>
              <w:tc>
                <w:tcPr>
                  <w:tcW w:w="735" w:type="dxa"/>
                  <w:vAlign w:val="center"/>
                </w:tcPr>
                <w:p>
                  <w:pPr>
                    <w:adjustRightInd w:val="0"/>
                    <w:snapToGrid w:val="0"/>
                    <w:jc w:val="center"/>
                    <w:rPr>
                      <w:color w:val="auto"/>
                      <w:szCs w:val="21"/>
                      <w:lang w:val="zh-CN"/>
                    </w:rPr>
                  </w:pPr>
                  <w:r>
                    <w:rPr>
                      <w:rFonts w:hint="eastAsia"/>
                      <w:color w:val="auto"/>
                      <w:szCs w:val="21"/>
                    </w:rPr>
                    <w:t>120m</w:t>
                  </w:r>
                </w:p>
              </w:tc>
              <w:tc>
                <w:tcPr>
                  <w:tcW w:w="928" w:type="dxa"/>
                  <w:vMerge w:val="restart"/>
                  <w:vAlign w:val="center"/>
                </w:tcPr>
                <w:p>
                  <w:pPr>
                    <w:adjustRightInd w:val="0"/>
                    <w:snapToGrid w:val="0"/>
                    <w:jc w:val="center"/>
                    <w:rPr>
                      <w:color w:val="auto"/>
                      <w:szCs w:val="21"/>
                    </w:rPr>
                  </w:pPr>
                  <w:r>
                    <w:rPr>
                      <w:rFonts w:hint="eastAsia"/>
                      <w:color w:val="auto"/>
                      <w:szCs w:val="21"/>
                    </w:rPr>
                    <w:t>不可移动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Merge w:val="continue"/>
                  <w:vAlign w:val="center"/>
                </w:tcPr>
                <w:p>
                  <w:pPr>
                    <w:adjustRightInd w:val="0"/>
                    <w:snapToGrid w:val="0"/>
                    <w:jc w:val="center"/>
                    <w:rPr>
                      <w:color w:val="auto"/>
                      <w:szCs w:val="21"/>
                    </w:rPr>
                  </w:pPr>
                </w:p>
              </w:tc>
              <w:tc>
                <w:tcPr>
                  <w:tcW w:w="1065" w:type="dxa"/>
                  <w:vMerge w:val="continue"/>
                  <w:vAlign w:val="center"/>
                </w:tcPr>
                <w:p>
                  <w:pPr>
                    <w:adjustRightInd w:val="0"/>
                    <w:snapToGrid w:val="0"/>
                    <w:jc w:val="center"/>
                    <w:rPr>
                      <w:color w:val="auto"/>
                      <w:szCs w:val="21"/>
                      <w:lang w:val="zh-CN"/>
                    </w:rPr>
                  </w:pPr>
                </w:p>
              </w:tc>
              <w:tc>
                <w:tcPr>
                  <w:tcW w:w="4687" w:type="dxa"/>
                  <w:vAlign w:val="center"/>
                </w:tcPr>
                <w:p>
                  <w:pPr>
                    <w:adjustRightInd w:val="0"/>
                    <w:snapToGrid w:val="0"/>
                    <w:jc w:val="center"/>
                    <w:rPr>
                      <w:color w:val="auto"/>
                      <w:szCs w:val="21"/>
                      <w:lang w:val="zh-CN"/>
                    </w:rPr>
                  </w:pPr>
                  <w:r>
                    <w:rPr>
                      <w:rFonts w:hint="eastAsia"/>
                      <w:color w:val="auto"/>
                      <w:szCs w:val="21"/>
                    </w:rPr>
                    <w:t>无缝钢管20-D89×4.5</w:t>
                  </w:r>
                </w:p>
              </w:tc>
              <w:tc>
                <w:tcPr>
                  <w:tcW w:w="735" w:type="dxa"/>
                  <w:vAlign w:val="center"/>
                </w:tcPr>
                <w:p>
                  <w:pPr>
                    <w:adjustRightInd w:val="0"/>
                    <w:snapToGrid w:val="0"/>
                    <w:jc w:val="center"/>
                    <w:rPr>
                      <w:color w:val="auto"/>
                      <w:szCs w:val="21"/>
                    </w:rPr>
                  </w:pPr>
                  <w:r>
                    <w:rPr>
                      <w:rFonts w:hint="eastAsia"/>
                      <w:color w:val="auto"/>
                      <w:szCs w:val="21"/>
                    </w:rPr>
                    <w:t>240m</w:t>
                  </w:r>
                </w:p>
              </w:tc>
              <w:tc>
                <w:tcPr>
                  <w:tcW w:w="928" w:type="dxa"/>
                  <w:vMerge w:val="continue"/>
                  <w:vAlign w:val="center"/>
                </w:tcPr>
                <w:p>
                  <w:pPr>
                    <w:adjustRightInd w:val="0"/>
                    <w:snapToGrid w:val="0"/>
                    <w:jc w:val="center"/>
                    <w:rPr>
                      <w:color w:val="auto"/>
                      <w:szCs w:val="21"/>
                    </w:rPr>
                  </w:pPr>
                </w:p>
              </w:tc>
            </w:tr>
          </w:tbl>
          <w:p>
            <w:pPr>
              <w:pStyle w:val="33"/>
              <w:ind w:left="0" w:leftChars="0" w:firstLine="0"/>
              <w:jc w:val="center"/>
              <w:rPr>
                <w:rFonts w:ascii="黑体" w:hAnsi="黑体" w:eastAsia="黑体" w:cs="黑体"/>
                <w:color w:val="auto"/>
                <w:sz w:val="21"/>
              </w:rPr>
            </w:pPr>
            <w:r>
              <w:rPr>
                <w:rFonts w:hint="eastAsia" w:ascii="黑体" w:hAnsi="黑体" w:eastAsia="黑体" w:cs="黑体"/>
                <w:color w:val="auto"/>
                <w:sz w:val="21"/>
              </w:rPr>
              <w:t>表2-6  600m³/d主要设备</w:t>
            </w:r>
            <w:r>
              <w:rPr>
                <w:rFonts w:hint="eastAsia" w:ascii="黑体" w:hAnsi="黑体" w:eastAsia="黑体" w:cs="黑体"/>
                <w:color w:val="auto"/>
                <w:spacing w:val="-3"/>
                <w:sz w:val="21"/>
              </w:rPr>
              <w:t>选</w:t>
            </w:r>
            <w:r>
              <w:rPr>
                <w:rFonts w:hint="eastAsia" w:ascii="黑体" w:hAnsi="黑体" w:eastAsia="黑体" w:cs="黑体"/>
                <w:color w:val="auto"/>
                <w:sz w:val="21"/>
              </w:rPr>
              <w:t>型一览表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065"/>
              <w:gridCol w:w="4687"/>
              <w:gridCol w:w="720"/>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pStyle w:val="12"/>
                    <w:adjustRightInd w:val="0"/>
                    <w:snapToGrid w:val="0"/>
                    <w:spacing w:after="0"/>
                    <w:ind w:left="0" w:leftChars="0"/>
                    <w:jc w:val="center"/>
                    <w:rPr>
                      <w:color w:val="auto"/>
                      <w:sz w:val="21"/>
                      <w:szCs w:val="21"/>
                    </w:rPr>
                  </w:pPr>
                  <w:r>
                    <w:rPr>
                      <w:color w:val="auto"/>
                      <w:sz w:val="21"/>
                      <w:szCs w:val="21"/>
                    </w:rPr>
                    <w:t>序号</w:t>
                  </w:r>
                </w:p>
              </w:tc>
              <w:tc>
                <w:tcPr>
                  <w:tcW w:w="1065" w:type="dxa"/>
                  <w:vAlign w:val="center"/>
                </w:tcPr>
                <w:p>
                  <w:pPr>
                    <w:pStyle w:val="12"/>
                    <w:adjustRightInd w:val="0"/>
                    <w:snapToGrid w:val="0"/>
                    <w:spacing w:after="0"/>
                    <w:ind w:left="0" w:leftChars="0"/>
                    <w:jc w:val="center"/>
                    <w:rPr>
                      <w:color w:val="auto"/>
                      <w:sz w:val="21"/>
                      <w:szCs w:val="21"/>
                    </w:rPr>
                  </w:pPr>
                  <w:r>
                    <w:rPr>
                      <w:color w:val="auto"/>
                      <w:sz w:val="21"/>
                      <w:szCs w:val="21"/>
                    </w:rPr>
                    <w:t>设备名称</w:t>
                  </w:r>
                </w:p>
              </w:tc>
              <w:tc>
                <w:tcPr>
                  <w:tcW w:w="4687" w:type="dxa"/>
                  <w:vAlign w:val="center"/>
                </w:tcPr>
                <w:p>
                  <w:pPr>
                    <w:pStyle w:val="12"/>
                    <w:adjustRightInd w:val="0"/>
                    <w:snapToGrid w:val="0"/>
                    <w:spacing w:after="0"/>
                    <w:ind w:left="0" w:leftChars="0"/>
                    <w:jc w:val="center"/>
                    <w:rPr>
                      <w:color w:val="auto"/>
                      <w:sz w:val="21"/>
                      <w:szCs w:val="21"/>
                    </w:rPr>
                  </w:pPr>
                  <w:r>
                    <w:rPr>
                      <w:color w:val="auto"/>
                      <w:sz w:val="21"/>
                      <w:szCs w:val="21"/>
                    </w:rPr>
                    <w:t>规格参数</w:t>
                  </w:r>
                </w:p>
              </w:tc>
              <w:tc>
                <w:tcPr>
                  <w:tcW w:w="720" w:type="dxa"/>
                  <w:vAlign w:val="center"/>
                </w:tcPr>
                <w:p>
                  <w:pPr>
                    <w:pStyle w:val="12"/>
                    <w:adjustRightInd w:val="0"/>
                    <w:snapToGrid w:val="0"/>
                    <w:spacing w:after="0"/>
                    <w:ind w:left="0" w:leftChars="0"/>
                    <w:jc w:val="center"/>
                    <w:rPr>
                      <w:color w:val="auto"/>
                      <w:sz w:val="21"/>
                      <w:szCs w:val="21"/>
                    </w:rPr>
                  </w:pPr>
                  <w:r>
                    <w:rPr>
                      <w:color w:val="auto"/>
                      <w:sz w:val="21"/>
                      <w:szCs w:val="21"/>
                    </w:rPr>
                    <w:t>数量</w:t>
                  </w:r>
                </w:p>
              </w:tc>
              <w:tc>
                <w:tcPr>
                  <w:tcW w:w="943" w:type="dxa"/>
                  <w:vAlign w:val="center"/>
                </w:tcPr>
                <w:p>
                  <w:pPr>
                    <w:pStyle w:val="12"/>
                    <w:adjustRightInd w:val="0"/>
                    <w:snapToGrid w:val="0"/>
                    <w:spacing w:after="0"/>
                    <w:ind w:left="0" w:leftChars="0"/>
                    <w:jc w:val="center"/>
                    <w:rPr>
                      <w:color w:val="auto"/>
                      <w:sz w:val="21"/>
                      <w:szCs w:val="21"/>
                    </w:rPr>
                  </w:pPr>
                  <w:r>
                    <w:rPr>
                      <w:rFonts w:hint="eastAsia"/>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1</w:t>
                  </w:r>
                </w:p>
              </w:tc>
              <w:tc>
                <w:tcPr>
                  <w:tcW w:w="1065" w:type="dxa"/>
                  <w:vAlign w:val="center"/>
                </w:tcPr>
                <w:p>
                  <w:pPr>
                    <w:adjustRightInd w:val="0"/>
                    <w:snapToGrid w:val="0"/>
                    <w:jc w:val="center"/>
                    <w:rPr>
                      <w:color w:val="auto"/>
                      <w:szCs w:val="21"/>
                    </w:rPr>
                  </w:pPr>
                  <w:r>
                    <w:rPr>
                      <w:rFonts w:hint="eastAsia"/>
                      <w:color w:val="auto"/>
                      <w:szCs w:val="21"/>
                    </w:rPr>
                    <w:t>卸水箱</w:t>
                  </w:r>
                </w:p>
              </w:tc>
              <w:tc>
                <w:tcPr>
                  <w:tcW w:w="4687" w:type="dxa"/>
                  <w:vAlign w:val="center"/>
                </w:tcPr>
                <w:p>
                  <w:pPr>
                    <w:adjustRightInd w:val="0"/>
                    <w:snapToGrid w:val="0"/>
                    <w:jc w:val="center"/>
                    <w:rPr>
                      <w:color w:val="auto"/>
                      <w:szCs w:val="21"/>
                    </w:rPr>
                  </w:pPr>
                  <w:r>
                    <w:rPr>
                      <w:rFonts w:hint="eastAsia"/>
                      <w:color w:val="auto"/>
                      <w:szCs w:val="21"/>
                    </w:rPr>
                    <w:t>9950mm×2800mm×2700mm，两级</w:t>
                  </w:r>
                </w:p>
              </w:tc>
              <w:tc>
                <w:tcPr>
                  <w:tcW w:w="720" w:type="dxa"/>
                  <w:vAlign w:val="center"/>
                </w:tcPr>
                <w:p>
                  <w:pPr>
                    <w:adjustRightInd w:val="0"/>
                    <w:snapToGrid w:val="0"/>
                    <w:jc w:val="center"/>
                    <w:rPr>
                      <w:color w:val="auto"/>
                      <w:szCs w:val="21"/>
                    </w:rPr>
                  </w:pPr>
                  <w:r>
                    <w:rPr>
                      <w:rFonts w:hint="eastAsia"/>
                      <w:color w:val="auto"/>
                      <w:szCs w:val="21"/>
                    </w:rPr>
                    <w:t>1台</w:t>
                  </w:r>
                </w:p>
              </w:tc>
              <w:tc>
                <w:tcPr>
                  <w:tcW w:w="943"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2</w:t>
                  </w:r>
                </w:p>
              </w:tc>
              <w:tc>
                <w:tcPr>
                  <w:tcW w:w="1065" w:type="dxa"/>
                  <w:vAlign w:val="center"/>
                </w:tcPr>
                <w:p>
                  <w:pPr>
                    <w:adjustRightInd w:val="0"/>
                    <w:snapToGrid w:val="0"/>
                    <w:jc w:val="center"/>
                    <w:rPr>
                      <w:color w:val="auto"/>
                      <w:szCs w:val="21"/>
                    </w:rPr>
                  </w:pPr>
                  <w:r>
                    <w:rPr>
                      <w:rFonts w:hint="eastAsia"/>
                      <w:color w:val="auto"/>
                      <w:szCs w:val="21"/>
                    </w:rPr>
                    <w:t>卸水池提升泵</w:t>
                  </w:r>
                </w:p>
              </w:tc>
              <w:tc>
                <w:tcPr>
                  <w:tcW w:w="4687" w:type="dxa"/>
                  <w:vAlign w:val="center"/>
                </w:tcPr>
                <w:p>
                  <w:pPr>
                    <w:adjustRightInd w:val="0"/>
                    <w:snapToGrid w:val="0"/>
                    <w:jc w:val="center"/>
                    <w:rPr>
                      <w:color w:val="auto"/>
                      <w:szCs w:val="21"/>
                    </w:rPr>
                  </w:pPr>
                  <w:r>
                    <w:rPr>
                      <w:rFonts w:hint="eastAsia"/>
                      <w:color w:val="auto"/>
                      <w:szCs w:val="21"/>
                    </w:rPr>
                    <w:t>Q=45m³/h，H=25m，N=7.5kW，</w:t>
                  </w:r>
                  <w:r>
                    <w:rPr>
                      <w:rFonts w:hint="eastAsia"/>
                      <w:snapToGrid w:val="0"/>
                      <w:color w:val="auto"/>
                      <w:szCs w:val="21"/>
                    </w:rPr>
                    <w:t>扬程不小于7m</w:t>
                  </w:r>
                </w:p>
                <w:p>
                  <w:pPr>
                    <w:adjustRightInd w:val="0"/>
                    <w:snapToGrid w:val="0"/>
                    <w:jc w:val="center"/>
                    <w:rPr>
                      <w:color w:val="auto"/>
                      <w:szCs w:val="21"/>
                    </w:rPr>
                  </w:pPr>
                  <w:r>
                    <w:rPr>
                      <w:rFonts w:hint="eastAsia"/>
                      <w:color w:val="auto"/>
                      <w:szCs w:val="21"/>
                    </w:rPr>
                    <w:t>防爆电机，附带滤网，过流面材质为PPR</w:t>
                  </w:r>
                </w:p>
              </w:tc>
              <w:tc>
                <w:tcPr>
                  <w:tcW w:w="720" w:type="dxa"/>
                  <w:vAlign w:val="center"/>
                </w:tcPr>
                <w:p>
                  <w:pPr>
                    <w:adjustRightInd w:val="0"/>
                    <w:snapToGrid w:val="0"/>
                    <w:jc w:val="center"/>
                    <w:rPr>
                      <w:color w:val="auto"/>
                      <w:szCs w:val="21"/>
                    </w:rPr>
                  </w:pPr>
                  <w:r>
                    <w:rPr>
                      <w:rFonts w:hint="eastAsia"/>
                      <w:color w:val="auto"/>
                      <w:szCs w:val="21"/>
                    </w:rPr>
                    <w:t>1用1备</w:t>
                  </w:r>
                </w:p>
              </w:tc>
              <w:tc>
                <w:tcPr>
                  <w:tcW w:w="943"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3</w:t>
                  </w:r>
                </w:p>
              </w:tc>
              <w:tc>
                <w:tcPr>
                  <w:tcW w:w="1065" w:type="dxa"/>
                  <w:vAlign w:val="center"/>
                </w:tcPr>
                <w:p>
                  <w:pPr>
                    <w:adjustRightInd w:val="0"/>
                    <w:snapToGrid w:val="0"/>
                    <w:jc w:val="center"/>
                    <w:rPr>
                      <w:color w:val="auto"/>
                      <w:szCs w:val="21"/>
                    </w:rPr>
                  </w:pPr>
                  <w:r>
                    <w:rPr>
                      <w:rFonts w:hint="eastAsia"/>
                      <w:color w:val="auto"/>
                      <w:szCs w:val="21"/>
                    </w:rPr>
                    <w:t>缓冲水箱</w:t>
                  </w:r>
                </w:p>
              </w:tc>
              <w:tc>
                <w:tcPr>
                  <w:tcW w:w="4687" w:type="dxa"/>
                  <w:vAlign w:val="center"/>
                </w:tcPr>
                <w:p>
                  <w:pPr>
                    <w:adjustRightInd w:val="0"/>
                    <w:snapToGrid w:val="0"/>
                    <w:jc w:val="center"/>
                    <w:rPr>
                      <w:color w:val="auto"/>
                      <w:szCs w:val="21"/>
                    </w:rPr>
                  </w:pPr>
                  <w:r>
                    <w:rPr>
                      <w:rFonts w:hint="eastAsia"/>
                      <w:color w:val="auto"/>
                      <w:szCs w:val="21"/>
                    </w:rPr>
                    <w:t>上下结构：</w:t>
                  </w:r>
                </w:p>
                <w:p>
                  <w:pPr>
                    <w:adjustRightInd w:val="0"/>
                    <w:snapToGrid w:val="0"/>
                    <w:jc w:val="center"/>
                    <w:rPr>
                      <w:color w:val="auto"/>
                      <w:szCs w:val="21"/>
                    </w:rPr>
                  </w:pPr>
                  <w:r>
                    <w:rPr>
                      <w:rFonts w:hint="eastAsia"/>
                      <w:color w:val="auto"/>
                      <w:szCs w:val="21"/>
                    </w:rPr>
                    <w:t>上层水箱尺寸：L×B×H=8950mm×2300mm×2200mm；</w:t>
                  </w:r>
                </w:p>
                <w:p>
                  <w:pPr>
                    <w:adjustRightInd w:val="0"/>
                    <w:snapToGrid w:val="0"/>
                    <w:jc w:val="center"/>
                    <w:rPr>
                      <w:color w:val="auto"/>
                      <w:szCs w:val="21"/>
                    </w:rPr>
                  </w:pPr>
                  <w:r>
                    <w:rPr>
                      <w:rFonts w:hint="eastAsia"/>
                      <w:color w:val="auto"/>
                      <w:szCs w:val="21"/>
                    </w:rPr>
                    <w:t>下层水箱尺寸：L×B×H=9950mm×2800mm×2700mm</w:t>
                  </w:r>
                </w:p>
              </w:tc>
              <w:tc>
                <w:tcPr>
                  <w:tcW w:w="720" w:type="dxa"/>
                  <w:vAlign w:val="center"/>
                </w:tcPr>
                <w:p>
                  <w:pPr>
                    <w:adjustRightInd w:val="0"/>
                    <w:snapToGrid w:val="0"/>
                    <w:jc w:val="center"/>
                    <w:rPr>
                      <w:color w:val="auto"/>
                      <w:szCs w:val="21"/>
                    </w:rPr>
                  </w:pPr>
                  <w:r>
                    <w:rPr>
                      <w:rFonts w:hint="eastAsia"/>
                      <w:color w:val="auto"/>
                      <w:szCs w:val="21"/>
                    </w:rPr>
                    <w:t>4台</w:t>
                  </w:r>
                </w:p>
              </w:tc>
              <w:tc>
                <w:tcPr>
                  <w:tcW w:w="943"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4</w:t>
                  </w:r>
                </w:p>
              </w:tc>
              <w:tc>
                <w:tcPr>
                  <w:tcW w:w="1065" w:type="dxa"/>
                  <w:vAlign w:val="center"/>
                </w:tcPr>
                <w:p>
                  <w:pPr>
                    <w:adjustRightInd w:val="0"/>
                    <w:snapToGrid w:val="0"/>
                    <w:jc w:val="center"/>
                    <w:rPr>
                      <w:color w:val="auto"/>
                      <w:szCs w:val="21"/>
                    </w:rPr>
                  </w:pPr>
                  <w:r>
                    <w:rPr>
                      <w:rFonts w:hint="eastAsia"/>
                      <w:color w:val="auto"/>
                      <w:szCs w:val="21"/>
                    </w:rPr>
                    <w:t>缓冲水箱提升泵</w:t>
                  </w:r>
                </w:p>
              </w:tc>
              <w:tc>
                <w:tcPr>
                  <w:tcW w:w="4687" w:type="dxa"/>
                  <w:vAlign w:val="center"/>
                </w:tcPr>
                <w:p>
                  <w:pPr>
                    <w:adjustRightInd w:val="0"/>
                    <w:snapToGrid w:val="0"/>
                    <w:jc w:val="center"/>
                    <w:rPr>
                      <w:color w:val="auto"/>
                      <w:szCs w:val="21"/>
                    </w:rPr>
                  </w:pPr>
                  <w:r>
                    <w:rPr>
                      <w:rFonts w:hint="eastAsia"/>
                      <w:color w:val="auto"/>
                      <w:szCs w:val="21"/>
                    </w:rPr>
                    <w:t>Q=15m³/h，H=25m，N=4.0kW</w:t>
                  </w:r>
                </w:p>
                <w:p>
                  <w:pPr>
                    <w:adjustRightInd w:val="0"/>
                    <w:snapToGrid w:val="0"/>
                    <w:jc w:val="center"/>
                    <w:rPr>
                      <w:color w:val="auto"/>
                      <w:szCs w:val="21"/>
                    </w:rPr>
                  </w:pPr>
                  <w:r>
                    <w:rPr>
                      <w:rFonts w:hint="eastAsia"/>
                      <w:color w:val="auto"/>
                      <w:szCs w:val="21"/>
                    </w:rPr>
                    <w:t>防爆电机，附带滤网，过流面材质为PPR</w:t>
                  </w:r>
                </w:p>
              </w:tc>
              <w:tc>
                <w:tcPr>
                  <w:tcW w:w="720" w:type="dxa"/>
                  <w:vAlign w:val="center"/>
                </w:tcPr>
                <w:p>
                  <w:pPr>
                    <w:adjustRightInd w:val="0"/>
                    <w:snapToGrid w:val="0"/>
                    <w:jc w:val="center"/>
                    <w:rPr>
                      <w:color w:val="auto"/>
                      <w:szCs w:val="21"/>
                    </w:rPr>
                  </w:pPr>
                  <w:r>
                    <w:rPr>
                      <w:rFonts w:hint="eastAsia"/>
                      <w:color w:val="auto"/>
                      <w:szCs w:val="21"/>
                    </w:rPr>
                    <w:t>4用1备</w:t>
                  </w:r>
                </w:p>
              </w:tc>
              <w:tc>
                <w:tcPr>
                  <w:tcW w:w="943"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5</w:t>
                  </w:r>
                </w:p>
              </w:tc>
              <w:tc>
                <w:tcPr>
                  <w:tcW w:w="1065" w:type="dxa"/>
                  <w:vAlign w:val="center"/>
                </w:tcPr>
                <w:p>
                  <w:pPr>
                    <w:adjustRightInd w:val="0"/>
                    <w:snapToGrid w:val="0"/>
                    <w:jc w:val="center"/>
                    <w:rPr>
                      <w:color w:val="auto"/>
                      <w:szCs w:val="21"/>
                      <w:lang w:val="zh-CN"/>
                    </w:rPr>
                  </w:pPr>
                  <w:r>
                    <w:rPr>
                      <w:rFonts w:hint="eastAsia"/>
                      <w:color w:val="auto"/>
                      <w:szCs w:val="21"/>
                    </w:rPr>
                    <w:t>污水处理装置</w:t>
                  </w:r>
                </w:p>
              </w:tc>
              <w:tc>
                <w:tcPr>
                  <w:tcW w:w="4687" w:type="dxa"/>
                  <w:vAlign w:val="center"/>
                </w:tcPr>
                <w:p>
                  <w:pPr>
                    <w:adjustRightInd w:val="0"/>
                    <w:snapToGrid w:val="0"/>
                    <w:jc w:val="center"/>
                    <w:rPr>
                      <w:color w:val="auto"/>
                      <w:szCs w:val="21"/>
                    </w:rPr>
                  </w:pPr>
                  <w:r>
                    <w:rPr>
                      <w:rFonts w:hint="eastAsia"/>
                      <w:color w:val="auto"/>
                      <w:szCs w:val="21"/>
                    </w:rPr>
                    <w:t>分三座撬装设备，总处理规模600m³/d，各分撬处理规模也为600m³/d。</w:t>
                  </w:r>
                </w:p>
                <w:p>
                  <w:pPr>
                    <w:adjustRightInd w:val="0"/>
                    <w:snapToGrid w:val="0"/>
                    <w:jc w:val="center"/>
                    <w:rPr>
                      <w:color w:val="auto"/>
                      <w:lang w:val="zh-CN"/>
                    </w:rPr>
                  </w:pPr>
                  <w:r>
                    <w:rPr>
                      <w:rFonts w:hint="eastAsia"/>
                      <w:color w:val="auto"/>
                      <w:szCs w:val="21"/>
                    </w:rPr>
                    <w:t>三座撬主要包括加药撬(罐、泵)、净化撬（压力式高效混凝反应器、净化水装置）、过滤撬（粗过滤器、精细过滤装置和高精度过滤器）及配套管阀、防爆变频控制柜等。单座尺寸：长12m×宽2.44m×高2.6m。</w:t>
                  </w:r>
                </w:p>
              </w:tc>
              <w:tc>
                <w:tcPr>
                  <w:tcW w:w="720" w:type="dxa"/>
                  <w:vAlign w:val="center"/>
                </w:tcPr>
                <w:p>
                  <w:pPr>
                    <w:adjustRightInd w:val="0"/>
                    <w:snapToGrid w:val="0"/>
                    <w:jc w:val="center"/>
                    <w:rPr>
                      <w:color w:val="auto"/>
                      <w:szCs w:val="21"/>
                    </w:rPr>
                  </w:pPr>
                  <w:r>
                    <w:rPr>
                      <w:rFonts w:hint="eastAsia"/>
                      <w:color w:val="auto"/>
                      <w:szCs w:val="21"/>
                    </w:rPr>
                    <w:t>1套</w:t>
                  </w:r>
                </w:p>
              </w:tc>
              <w:tc>
                <w:tcPr>
                  <w:tcW w:w="943"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6</w:t>
                  </w:r>
                </w:p>
              </w:tc>
              <w:tc>
                <w:tcPr>
                  <w:tcW w:w="1065" w:type="dxa"/>
                  <w:vAlign w:val="center"/>
                </w:tcPr>
                <w:p>
                  <w:pPr>
                    <w:adjustRightInd w:val="0"/>
                    <w:snapToGrid w:val="0"/>
                    <w:jc w:val="center"/>
                    <w:rPr>
                      <w:color w:val="auto"/>
                      <w:szCs w:val="21"/>
                      <w:lang w:val="zh-CN"/>
                    </w:rPr>
                  </w:pPr>
                  <w:r>
                    <w:rPr>
                      <w:rFonts w:hint="eastAsia"/>
                      <w:color w:val="auto"/>
                      <w:szCs w:val="21"/>
                    </w:rPr>
                    <w:t>净化水箱</w:t>
                  </w:r>
                </w:p>
              </w:tc>
              <w:tc>
                <w:tcPr>
                  <w:tcW w:w="4687" w:type="dxa"/>
                  <w:vAlign w:val="center"/>
                </w:tcPr>
                <w:p>
                  <w:pPr>
                    <w:adjustRightInd w:val="0"/>
                    <w:snapToGrid w:val="0"/>
                    <w:jc w:val="center"/>
                    <w:rPr>
                      <w:color w:val="auto"/>
                      <w:szCs w:val="21"/>
                    </w:rPr>
                  </w:pPr>
                  <w:r>
                    <w:rPr>
                      <w:rFonts w:hint="eastAsia"/>
                      <w:color w:val="auto"/>
                      <w:szCs w:val="21"/>
                    </w:rPr>
                    <w:t>上下结构：</w:t>
                  </w:r>
                </w:p>
                <w:p>
                  <w:pPr>
                    <w:adjustRightInd w:val="0"/>
                    <w:snapToGrid w:val="0"/>
                    <w:jc w:val="center"/>
                    <w:rPr>
                      <w:color w:val="auto"/>
                      <w:szCs w:val="21"/>
                      <w:lang w:val="zh-CN"/>
                    </w:rPr>
                  </w:pPr>
                  <w:r>
                    <w:rPr>
                      <w:rFonts w:hint="eastAsia"/>
                      <w:color w:val="auto"/>
                      <w:szCs w:val="21"/>
                    </w:rPr>
                    <w:t>上层水箱尺寸：L×B×H=8950mm×2300mm×2200mm；下层水箱尺寸：L×B×H=9950mm×2800mm×2700mm</w:t>
                  </w:r>
                </w:p>
              </w:tc>
              <w:tc>
                <w:tcPr>
                  <w:tcW w:w="720" w:type="dxa"/>
                  <w:vAlign w:val="center"/>
                </w:tcPr>
                <w:p>
                  <w:pPr>
                    <w:adjustRightInd w:val="0"/>
                    <w:snapToGrid w:val="0"/>
                    <w:jc w:val="center"/>
                    <w:rPr>
                      <w:color w:val="auto"/>
                      <w:szCs w:val="21"/>
                    </w:rPr>
                  </w:pPr>
                  <w:r>
                    <w:rPr>
                      <w:rFonts w:hint="eastAsia"/>
                      <w:color w:val="auto"/>
                      <w:szCs w:val="21"/>
                    </w:rPr>
                    <w:t>4台</w:t>
                  </w:r>
                </w:p>
              </w:tc>
              <w:tc>
                <w:tcPr>
                  <w:tcW w:w="943"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7</w:t>
                  </w:r>
                </w:p>
              </w:tc>
              <w:tc>
                <w:tcPr>
                  <w:tcW w:w="1065" w:type="dxa"/>
                  <w:vAlign w:val="center"/>
                </w:tcPr>
                <w:p>
                  <w:pPr>
                    <w:adjustRightInd w:val="0"/>
                    <w:snapToGrid w:val="0"/>
                    <w:jc w:val="center"/>
                    <w:rPr>
                      <w:color w:val="auto"/>
                      <w:szCs w:val="21"/>
                      <w:lang w:val="zh-CN"/>
                    </w:rPr>
                  </w:pPr>
                  <w:r>
                    <w:rPr>
                      <w:rFonts w:hint="eastAsia"/>
                      <w:color w:val="auto"/>
                      <w:szCs w:val="21"/>
                    </w:rPr>
                    <w:t>埋地式污油泥回收罐</w:t>
                  </w:r>
                </w:p>
              </w:tc>
              <w:tc>
                <w:tcPr>
                  <w:tcW w:w="4687" w:type="dxa"/>
                  <w:vAlign w:val="center"/>
                </w:tcPr>
                <w:p>
                  <w:pPr>
                    <w:adjustRightInd w:val="0"/>
                    <w:snapToGrid w:val="0"/>
                    <w:jc w:val="center"/>
                    <w:rPr>
                      <w:color w:val="auto"/>
                      <w:szCs w:val="21"/>
                    </w:rPr>
                  </w:pPr>
                  <w:r>
                    <w:rPr>
                      <w:rFonts w:hint="eastAsia"/>
                      <w:color w:val="auto"/>
                      <w:szCs w:val="21"/>
                    </w:rPr>
                    <w:t>容积为30m³，尺寸为：6m×2.25m×2.25m，钢制碳钢</w:t>
                  </w:r>
                </w:p>
              </w:tc>
              <w:tc>
                <w:tcPr>
                  <w:tcW w:w="720" w:type="dxa"/>
                  <w:vAlign w:val="center"/>
                </w:tcPr>
                <w:p>
                  <w:pPr>
                    <w:adjustRightInd w:val="0"/>
                    <w:snapToGrid w:val="0"/>
                    <w:jc w:val="center"/>
                    <w:rPr>
                      <w:color w:val="auto"/>
                      <w:szCs w:val="21"/>
                    </w:rPr>
                  </w:pPr>
                  <w:r>
                    <w:rPr>
                      <w:rFonts w:hint="eastAsia"/>
                      <w:color w:val="auto"/>
                      <w:szCs w:val="21"/>
                    </w:rPr>
                    <w:t>1台</w:t>
                  </w:r>
                </w:p>
              </w:tc>
              <w:tc>
                <w:tcPr>
                  <w:tcW w:w="943"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Align w:val="center"/>
                </w:tcPr>
                <w:p>
                  <w:pPr>
                    <w:adjustRightInd w:val="0"/>
                    <w:snapToGrid w:val="0"/>
                    <w:jc w:val="center"/>
                    <w:rPr>
                      <w:color w:val="auto"/>
                      <w:szCs w:val="21"/>
                    </w:rPr>
                  </w:pPr>
                  <w:r>
                    <w:rPr>
                      <w:rFonts w:hint="eastAsia"/>
                      <w:color w:val="auto"/>
                      <w:szCs w:val="21"/>
                    </w:rPr>
                    <w:t>8</w:t>
                  </w:r>
                </w:p>
              </w:tc>
              <w:tc>
                <w:tcPr>
                  <w:tcW w:w="1065" w:type="dxa"/>
                  <w:vAlign w:val="center"/>
                </w:tcPr>
                <w:p>
                  <w:pPr>
                    <w:adjustRightInd w:val="0"/>
                    <w:snapToGrid w:val="0"/>
                    <w:jc w:val="center"/>
                    <w:rPr>
                      <w:color w:val="auto"/>
                      <w:szCs w:val="21"/>
                    </w:rPr>
                  </w:pPr>
                  <w:r>
                    <w:rPr>
                      <w:rFonts w:hint="eastAsia"/>
                      <w:color w:val="auto"/>
                      <w:szCs w:val="21"/>
                    </w:rPr>
                    <w:t>防爆污泥泵</w:t>
                  </w:r>
                </w:p>
              </w:tc>
              <w:tc>
                <w:tcPr>
                  <w:tcW w:w="4687" w:type="dxa"/>
                  <w:vAlign w:val="center"/>
                </w:tcPr>
                <w:p>
                  <w:pPr>
                    <w:adjustRightInd w:val="0"/>
                    <w:snapToGrid w:val="0"/>
                    <w:jc w:val="center"/>
                    <w:rPr>
                      <w:color w:val="auto"/>
                      <w:szCs w:val="21"/>
                    </w:rPr>
                  </w:pPr>
                  <w:r>
                    <w:rPr>
                      <w:rFonts w:hint="eastAsia"/>
                      <w:color w:val="auto"/>
                      <w:szCs w:val="21"/>
                    </w:rPr>
                    <w:t>Q=20m³/h，H=25m，N=4.0kW</w:t>
                  </w:r>
                </w:p>
                <w:p>
                  <w:pPr>
                    <w:adjustRightInd w:val="0"/>
                    <w:snapToGrid w:val="0"/>
                    <w:jc w:val="center"/>
                    <w:rPr>
                      <w:color w:val="auto"/>
                      <w:szCs w:val="21"/>
                    </w:rPr>
                  </w:pPr>
                  <w:r>
                    <w:rPr>
                      <w:rFonts w:hint="eastAsia"/>
                      <w:color w:val="auto"/>
                      <w:szCs w:val="21"/>
                    </w:rPr>
                    <w:t>防爆电机，附带滤网，过流面材质为PPR</w:t>
                  </w:r>
                </w:p>
              </w:tc>
              <w:tc>
                <w:tcPr>
                  <w:tcW w:w="720" w:type="dxa"/>
                  <w:vAlign w:val="center"/>
                </w:tcPr>
                <w:p>
                  <w:pPr>
                    <w:adjustRightInd w:val="0"/>
                    <w:snapToGrid w:val="0"/>
                    <w:jc w:val="center"/>
                    <w:rPr>
                      <w:color w:val="auto"/>
                      <w:szCs w:val="21"/>
                      <w:lang w:val="zh-CN"/>
                    </w:rPr>
                  </w:pPr>
                  <w:r>
                    <w:rPr>
                      <w:rFonts w:hint="eastAsia"/>
                      <w:color w:val="auto"/>
                      <w:szCs w:val="21"/>
                    </w:rPr>
                    <w:t>1用1备</w:t>
                  </w:r>
                </w:p>
              </w:tc>
              <w:tc>
                <w:tcPr>
                  <w:tcW w:w="943" w:type="dxa"/>
                  <w:vAlign w:val="center"/>
                </w:tcPr>
                <w:p>
                  <w:pPr>
                    <w:adjustRightInd w:val="0"/>
                    <w:snapToGrid w:val="0"/>
                    <w:jc w:val="center"/>
                    <w:rPr>
                      <w:color w:val="auto"/>
                      <w:szCs w:val="21"/>
                    </w:rPr>
                  </w:pPr>
                  <w:r>
                    <w:rPr>
                      <w:rFonts w:hint="eastAsia"/>
                      <w:color w:val="auto"/>
                      <w:szCs w:val="21"/>
                    </w:rPr>
                    <w:t>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Merge w:val="restart"/>
                  <w:vAlign w:val="center"/>
                </w:tcPr>
                <w:p>
                  <w:pPr>
                    <w:adjustRightInd w:val="0"/>
                    <w:snapToGrid w:val="0"/>
                    <w:jc w:val="center"/>
                    <w:rPr>
                      <w:color w:val="auto"/>
                      <w:szCs w:val="21"/>
                    </w:rPr>
                  </w:pPr>
                  <w:r>
                    <w:rPr>
                      <w:rFonts w:hint="eastAsia"/>
                      <w:color w:val="auto"/>
                      <w:szCs w:val="21"/>
                    </w:rPr>
                    <w:t>9</w:t>
                  </w:r>
                </w:p>
              </w:tc>
              <w:tc>
                <w:tcPr>
                  <w:tcW w:w="1065" w:type="dxa"/>
                  <w:vMerge w:val="restart"/>
                  <w:vAlign w:val="center"/>
                </w:tcPr>
                <w:p>
                  <w:pPr>
                    <w:adjustRightInd w:val="0"/>
                    <w:snapToGrid w:val="0"/>
                    <w:jc w:val="center"/>
                    <w:rPr>
                      <w:color w:val="auto"/>
                      <w:szCs w:val="21"/>
                      <w:lang w:val="zh-CN"/>
                    </w:rPr>
                  </w:pPr>
                  <w:r>
                    <w:rPr>
                      <w:rFonts w:hint="eastAsia"/>
                      <w:color w:val="auto"/>
                      <w:szCs w:val="21"/>
                    </w:rPr>
                    <w:t>室外管网</w:t>
                  </w:r>
                </w:p>
              </w:tc>
              <w:tc>
                <w:tcPr>
                  <w:tcW w:w="4687" w:type="dxa"/>
                  <w:vAlign w:val="center"/>
                </w:tcPr>
                <w:p>
                  <w:pPr>
                    <w:adjustRightInd w:val="0"/>
                    <w:snapToGrid w:val="0"/>
                    <w:jc w:val="center"/>
                    <w:rPr>
                      <w:color w:val="auto"/>
                      <w:szCs w:val="21"/>
                      <w:lang w:val="zh-CN"/>
                    </w:rPr>
                  </w:pPr>
                  <w:r>
                    <w:rPr>
                      <w:rFonts w:hint="eastAsia"/>
                      <w:color w:val="auto"/>
                      <w:szCs w:val="21"/>
                    </w:rPr>
                    <w:t>无缝钢管20-D114×5</w:t>
                  </w:r>
                </w:p>
              </w:tc>
              <w:tc>
                <w:tcPr>
                  <w:tcW w:w="720" w:type="dxa"/>
                  <w:vAlign w:val="center"/>
                </w:tcPr>
                <w:p>
                  <w:pPr>
                    <w:adjustRightInd w:val="0"/>
                    <w:snapToGrid w:val="0"/>
                    <w:jc w:val="center"/>
                    <w:rPr>
                      <w:color w:val="auto"/>
                      <w:szCs w:val="21"/>
                      <w:lang w:val="zh-CN"/>
                    </w:rPr>
                  </w:pPr>
                  <w:r>
                    <w:rPr>
                      <w:rFonts w:hint="eastAsia"/>
                      <w:color w:val="auto"/>
                      <w:szCs w:val="21"/>
                    </w:rPr>
                    <w:t>120m</w:t>
                  </w:r>
                </w:p>
              </w:tc>
              <w:tc>
                <w:tcPr>
                  <w:tcW w:w="943" w:type="dxa"/>
                  <w:vMerge w:val="restart"/>
                  <w:vAlign w:val="center"/>
                </w:tcPr>
                <w:p>
                  <w:pPr>
                    <w:adjustRightInd w:val="0"/>
                    <w:snapToGrid w:val="0"/>
                    <w:jc w:val="center"/>
                    <w:rPr>
                      <w:color w:val="auto"/>
                      <w:szCs w:val="21"/>
                    </w:rPr>
                  </w:pPr>
                  <w:r>
                    <w:rPr>
                      <w:rFonts w:hint="eastAsia"/>
                      <w:color w:val="auto"/>
                      <w:szCs w:val="21"/>
                    </w:rPr>
                    <w:t>不可移动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vMerge w:val="continue"/>
                  <w:vAlign w:val="center"/>
                </w:tcPr>
                <w:p>
                  <w:pPr>
                    <w:adjustRightInd w:val="0"/>
                    <w:snapToGrid w:val="0"/>
                    <w:jc w:val="center"/>
                    <w:rPr>
                      <w:color w:val="auto"/>
                      <w:szCs w:val="21"/>
                    </w:rPr>
                  </w:pPr>
                </w:p>
              </w:tc>
              <w:tc>
                <w:tcPr>
                  <w:tcW w:w="1065" w:type="dxa"/>
                  <w:vMerge w:val="continue"/>
                  <w:vAlign w:val="center"/>
                </w:tcPr>
                <w:p>
                  <w:pPr>
                    <w:adjustRightInd w:val="0"/>
                    <w:snapToGrid w:val="0"/>
                    <w:jc w:val="center"/>
                    <w:rPr>
                      <w:color w:val="auto"/>
                      <w:szCs w:val="21"/>
                      <w:lang w:val="zh-CN"/>
                    </w:rPr>
                  </w:pPr>
                </w:p>
              </w:tc>
              <w:tc>
                <w:tcPr>
                  <w:tcW w:w="4687" w:type="dxa"/>
                  <w:vAlign w:val="center"/>
                </w:tcPr>
                <w:p>
                  <w:pPr>
                    <w:adjustRightInd w:val="0"/>
                    <w:snapToGrid w:val="0"/>
                    <w:jc w:val="center"/>
                    <w:rPr>
                      <w:color w:val="auto"/>
                      <w:szCs w:val="21"/>
                      <w:lang w:val="zh-CN"/>
                    </w:rPr>
                  </w:pPr>
                  <w:r>
                    <w:rPr>
                      <w:rFonts w:hint="eastAsia"/>
                      <w:color w:val="auto"/>
                      <w:szCs w:val="21"/>
                    </w:rPr>
                    <w:t>无缝钢管20-D89×4.5</w:t>
                  </w:r>
                </w:p>
              </w:tc>
              <w:tc>
                <w:tcPr>
                  <w:tcW w:w="720" w:type="dxa"/>
                  <w:vAlign w:val="center"/>
                </w:tcPr>
                <w:p>
                  <w:pPr>
                    <w:adjustRightInd w:val="0"/>
                    <w:snapToGrid w:val="0"/>
                    <w:jc w:val="center"/>
                    <w:rPr>
                      <w:color w:val="auto"/>
                      <w:szCs w:val="21"/>
                    </w:rPr>
                  </w:pPr>
                  <w:r>
                    <w:rPr>
                      <w:rFonts w:hint="eastAsia"/>
                      <w:color w:val="auto"/>
                      <w:szCs w:val="21"/>
                    </w:rPr>
                    <w:t>240m</w:t>
                  </w:r>
                </w:p>
              </w:tc>
              <w:tc>
                <w:tcPr>
                  <w:tcW w:w="943" w:type="dxa"/>
                  <w:vMerge w:val="continue"/>
                  <w:vAlign w:val="center"/>
                </w:tcPr>
                <w:p>
                  <w:pPr>
                    <w:adjustRightInd w:val="0"/>
                    <w:snapToGrid w:val="0"/>
                    <w:jc w:val="center"/>
                    <w:rPr>
                      <w:color w:val="auto"/>
                      <w:szCs w:val="21"/>
                    </w:rPr>
                  </w:pPr>
                </w:p>
              </w:tc>
            </w:tr>
          </w:tbl>
          <w:p>
            <w:pPr>
              <w:spacing w:line="360" w:lineRule="auto"/>
              <w:ind w:firstLine="480" w:firstLineChars="200"/>
              <w:jc w:val="left"/>
              <w:rPr>
                <w:rFonts w:ascii="宋体" w:hAnsi="宋体" w:cs="宋体"/>
                <w:color w:val="auto"/>
                <w:sz w:val="24"/>
              </w:rPr>
            </w:pPr>
            <w:r>
              <w:rPr>
                <w:rFonts w:hint="eastAsia" w:ascii="宋体" w:hAnsi="宋体" w:cs="宋体"/>
                <w:color w:val="auto"/>
                <w:sz w:val="24"/>
              </w:rPr>
              <w:t>环评</w:t>
            </w:r>
            <w:r>
              <w:rPr>
                <w:rFonts w:ascii="宋体" w:hAnsi="宋体" w:cs="宋体"/>
                <w:color w:val="auto"/>
                <w:sz w:val="24"/>
              </w:rPr>
              <w:t>要求</w:t>
            </w:r>
            <w:r>
              <w:rPr>
                <w:rFonts w:hint="eastAsia" w:ascii="宋体" w:hAnsi="宋体" w:cs="宋体"/>
                <w:color w:val="auto"/>
                <w:sz w:val="24"/>
              </w:rPr>
              <w:t>建设单位</w:t>
            </w:r>
            <w:r>
              <w:rPr>
                <w:rFonts w:ascii="宋体" w:hAnsi="宋体" w:cs="宋体"/>
                <w:color w:val="auto"/>
                <w:sz w:val="24"/>
              </w:rPr>
              <w:t>对通往站场的路面进行硬化、油化</w:t>
            </w:r>
            <w:r>
              <w:rPr>
                <w:rFonts w:hint="eastAsia" w:ascii="宋体" w:hAnsi="宋体" w:cs="宋体"/>
                <w:color w:val="auto"/>
                <w:sz w:val="24"/>
              </w:rPr>
              <w:t>。贯穿油区的采油井区专用道路多条均可依托，进站场简易道路可依托各乡村简易公路，站场道路与现有站场道路相连，主干线道路采用柏油路，支线道路采用砂石路。</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道路工程主要技术指标见表2-7。</w:t>
            </w:r>
          </w:p>
          <w:p>
            <w:pPr>
              <w:pStyle w:val="33"/>
              <w:ind w:left="0" w:leftChars="0" w:firstLine="0"/>
              <w:jc w:val="center"/>
              <w:rPr>
                <w:rFonts w:ascii="黑体" w:hAnsi="黑体" w:eastAsia="黑体" w:cs="黑体"/>
                <w:color w:val="auto"/>
                <w:sz w:val="21"/>
              </w:rPr>
            </w:pPr>
            <w:r>
              <w:rPr>
                <w:rFonts w:hint="eastAsia" w:ascii="黑体" w:hAnsi="黑体" w:eastAsia="黑体" w:cs="黑体"/>
                <w:color w:val="auto"/>
                <w:sz w:val="21"/>
              </w:rPr>
              <w:t>表2-7道路建设标准及采用技术指标</w:t>
            </w:r>
          </w:p>
          <w:tbl>
            <w:tblPr>
              <w:tblStyle w:val="34"/>
              <w:tblW w:w="8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1"/>
              <w:gridCol w:w="2117"/>
              <w:gridCol w:w="1731"/>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878" w:type="dxa"/>
                  <w:gridSpan w:val="2"/>
                  <w:vAlign w:val="center"/>
                </w:tcPr>
                <w:p>
                  <w:pPr>
                    <w:adjustRightInd w:val="0"/>
                    <w:snapToGrid w:val="0"/>
                    <w:jc w:val="center"/>
                    <w:rPr>
                      <w:color w:val="auto"/>
                      <w:szCs w:val="21"/>
                    </w:rPr>
                  </w:pPr>
                  <w:r>
                    <w:rPr>
                      <w:color w:val="auto"/>
                      <w:szCs w:val="21"/>
                    </w:rPr>
                    <w:t>道路建设标准</w:t>
                  </w:r>
                  <w:r>
                    <w:rPr>
                      <w:rFonts w:hint="eastAsia"/>
                      <w:color w:val="auto"/>
                      <w:szCs w:val="21"/>
                    </w:rPr>
                    <w:t>要求</w:t>
                  </w:r>
                </w:p>
              </w:tc>
              <w:tc>
                <w:tcPr>
                  <w:tcW w:w="1731" w:type="dxa"/>
                  <w:vAlign w:val="center"/>
                </w:tcPr>
                <w:p>
                  <w:pPr>
                    <w:adjustRightInd w:val="0"/>
                    <w:snapToGrid w:val="0"/>
                    <w:jc w:val="center"/>
                    <w:rPr>
                      <w:color w:val="auto"/>
                      <w:szCs w:val="21"/>
                    </w:rPr>
                  </w:pPr>
                  <w:r>
                    <w:rPr>
                      <w:color w:val="auto"/>
                      <w:szCs w:val="21"/>
                    </w:rPr>
                    <w:t>主干线</w:t>
                  </w:r>
                </w:p>
              </w:tc>
              <w:tc>
                <w:tcPr>
                  <w:tcW w:w="1549" w:type="dxa"/>
                  <w:vAlign w:val="center"/>
                </w:tcPr>
                <w:p>
                  <w:pPr>
                    <w:adjustRightInd w:val="0"/>
                    <w:snapToGrid w:val="0"/>
                    <w:jc w:val="center"/>
                    <w:rPr>
                      <w:color w:val="auto"/>
                      <w:szCs w:val="21"/>
                    </w:rPr>
                  </w:pPr>
                  <w:r>
                    <w:rPr>
                      <w:color w:val="auto"/>
                      <w:szCs w:val="21"/>
                    </w:rPr>
                    <w:t>支 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878" w:type="dxa"/>
                  <w:gridSpan w:val="2"/>
                  <w:vAlign w:val="center"/>
                </w:tcPr>
                <w:p>
                  <w:pPr>
                    <w:adjustRightInd w:val="0"/>
                    <w:snapToGrid w:val="0"/>
                    <w:jc w:val="center"/>
                    <w:rPr>
                      <w:color w:val="auto"/>
                      <w:szCs w:val="21"/>
                    </w:rPr>
                  </w:pPr>
                  <w:r>
                    <w:rPr>
                      <w:color w:val="auto"/>
                      <w:szCs w:val="21"/>
                    </w:rPr>
                    <w:t>路面宽度(m)</w:t>
                  </w:r>
                </w:p>
              </w:tc>
              <w:tc>
                <w:tcPr>
                  <w:tcW w:w="1731" w:type="dxa"/>
                  <w:vAlign w:val="center"/>
                </w:tcPr>
                <w:p>
                  <w:pPr>
                    <w:adjustRightInd w:val="0"/>
                    <w:snapToGrid w:val="0"/>
                    <w:jc w:val="center"/>
                    <w:rPr>
                      <w:color w:val="auto"/>
                      <w:szCs w:val="21"/>
                    </w:rPr>
                  </w:pPr>
                  <w:r>
                    <w:rPr>
                      <w:color w:val="auto"/>
                      <w:szCs w:val="21"/>
                    </w:rPr>
                    <w:t>4.5</w:t>
                  </w:r>
                </w:p>
              </w:tc>
              <w:tc>
                <w:tcPr>
                  <w:tcW w:w="1549" w:type="dxa"/>
                  <w:vAlign w:val="center"/>
                </w:tcPr>
                <w:p>
                  <w:pPr>
                    <w:adjustRightInd w:val="0"/>
                    <w:snapToGrid w:val="0"/>
                    <w:jc w:val="center"/>
                    <w:rPr>
                      <w:color w:val="auto"/>
                      <w:szCs w:val="21"/>
                    </w:rPr>
                  </w:pPr>
                  <w:r>
                    <w:rPr>
                      <w:color w:val="auto"/>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878" w:type="dxa"/>
                  <w:gridSpan w:val="2"/>
                  <w:vAlign w:val="center"/>
                </w:tcPr>
                <w:p>
                  <w:pPr>
                    <w:adjustRightInd w:val="0"/>
                    <w:snapToGrid w:val="0"/>
                    <w:jc w:val="center"/>
                    <w:rPr>
                      <w:color w:val="auto"/>
                      <w:szCs w:val="21"/>
                    </w:rPr>
                  </w:pPr>
                  <w:r>
                    <w:rPr>
                      <w:color w:val="auto"/>
                      <w:szCs w:val="21"/>
                    </w:rPr>
                    <w:t>路基宽度(m)</w:t>
                  </w:r>
                </w:p>
              </w:tc>
              <w:tc>
                <w:tcPr>
                  <w:tcW w:w="1731" w:type="dxa"/>
                  <w:vAlign w:val="center"/>
                </w:tcPr>
                <w:p>
                  <w:pPr>
                    <w:adjustRightInd w:val="0"/>
                    <w:snapToGrid w:val="0"/>
                    <w:jc w:val="center"/>
                    <w:rPr>
                      <w:color w:val="auto"/>
                      <w:szCs w:val="21"/>
                    </w:rPr>
                  </w:pPr>
                  <w:r>
                    <w:rPr>
                      <w:color w:val="auto"/>
                      <w:szCs w:val="21"/>
                    </w:rPr>
                    <w:t>6.5</w:t>
                  </w:r>
                </w:p>
              </w:tc>
              <w:tc>
                <w:tcPr>
                  <w:tcW w:w="1549" w:type="dxa"/>
                  <w:vAlign w:val="center"/>
                </w:tcPr>
                <w:p>
                  <w:pPr>
                    <w:adjustRightInd w:val="0"/>
                    <w:snapToGrid w:val="0"/>
                    <w:jc w:val="center"/>
                    <w:rPr>
                      <w:color w:val="auto"/>
                      <w:szCs w:val="21"/>
                    </w:rPr>
                  </w:pPr>
                  <w:r>
                    <w:rPr>
                      <w:color w:val="auto"/>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878" w:type="dxa"/>
                  <w:gridSpan w:val="2"/>
                  <w:vAlign w:val="center"/>
                </w:tcPr>
                <w:p>
                  <w:pPr>
                    <w:adjustRightInd w:val="0"/>
                    <w:snapToGrid w:val="0"/>
                    <w:jc w:val="center"/>
                    <w:rPr>
                      <w:color w:val="auto"/>
                      <w:szCs w:val="21"/>
                    </w:rPr>
                  </w:pPr>
                  <w:r>
                    <w:rPr>
                      <w:color w:val="auto"/>
                      <w:szCs w:val="21"/>
                    </w:rPr>
                    <w:t>路面结构类型</w:t>
                  </w:r>
                </w:p>
              </w:tc>
              <w:tc>
                <w:tcPr>
                  <w:tcW w:w="1731" w:type="dxa"/>
                  <w:vAlign w:val="center"/>
                </w:tcPr>
                <w:p>
                  <w:pPr>
                    <w:adjustRightInd w:val="0"/>
                    <w:snapToGrid w:val="0"/>
                    <w:jc w:val="center"/>
                    <w:rPr>
                      <w:color w:val="auto"/>
                      <w:szCs w:val="21"/>
                    </w:rPr>
                  </w:pPr>
                  <w:r>
                    <w:rPr>
                      <w:rFonts w:hint="eastAsia"/>
                      <w:color w:val="auto"/>
                      <w:szCs w:val="21"/>
                    </w:rPr>
                    <w:t>柏油</w:t>
                  </w:r>
                </w:p>
              </w:tc>
              <w:tc>
                <w:tcPr>
                  <w:tcW w:w="1549" w:type="dxa"/>
                  <w:vAlign w:val="center"/>
                </w:tcPr>
                <w:p>
                  <w:pPr>
                    <w:adjustRightInd w:val="0"/>
                    <w:snapToGrid w:val="0"/>
                    <w:jc w:val="center"/>
                    <w:rPr>
                      <w:color w:val="auto"/>
                      <w:szCs w:val="21"/>
                    </w:rPr>
                  </w:pPr>
                  <w:r>
                    <w:rPr>
                      <w:rFonts w:hint="eastAsia"/>
                      <w:color w:val="auto"/>
                      <w:szCs w:val="21"/>
                    </w:rPr>
                    <w:t>砂石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878" w:type="dxa"/>
                  <w:gridSpan w:val="2"/>
                  <w:vAlign w:val="center"/>
                </w:tcPr>
                <w:p>
                  <w:pPr>
                    <w:adjustRightInd w:val="0"/>
                    <w:snapToGrid w:val="0"/>
                    <w:jc w:val="center"/>
                    <w:rPr>
                      <w:color w:val="auto"/>
                      <w:szCs w:val="21"/>
                    </w:rPr>
                  </w:pPr>
                  <w:r>
                    <w:rPr>
                      <w:color w:val="auto"/>
                      <w:szCs w:val="21"/>
                    </w:rPr>
                    <w:t>极限最小圆曲线半径（m）</w:t>
                  </w:r>
                </w:p>
              </w:tc>
              <w:tc>
                <w:tcPr>
                  <w:tcW w:w="3280" w:type="dxa"/>
                  <w:gridSpan w:val="2"/>
                  <w:vAlign w:val="center"/>
                </w:tcPr>
                <w:p>
                  <w:pPr>
                    <w:adjustRightInd w:val="0"/>
                    <w:snapToGrid w:val="0"/>
                    <w:jc w:val="center"/>
                    <w:rPr>
                      <w:color w:val="auto"/>
                      <w:szCs w:val="21"/>
                    </w:rPr>
                  </w:pPr>
                  <w:r>
                    <w:rPr>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878" w:type="dxa"/>
                  <w:gridSpan w:val="2"/>
                  <w:vAlign w:val="center"/>
                </w:tcPr>
                <w:p>
                  <w:pPr>
                    <w:adjustRightInd w:val="0"/>
                    <w:snapToGrid w:val="0"/>
                    <w:jc w:val="center"/>
                    <w:rPr>
                      <w:color w:val="auto"/>
                      <w:szCs w:val="21"/>
                    </w:rPr>
                  </w:pPr>
                  <w:r>
                    <w:rPr>
                      <w:color w:val="auto"/>
                      <w:szCs w:val="21"/>
                    </w:rPr>
                    <w:t>一般最小圆曲线半径（m）</w:t>
                  </w:r>
                </w:p>
              </w:tc>
              <w:tc>
                <w:tcPr>
                  <w:tcW w:w="3280" w:type="dxa"/>
                  <w:gridSpan w:val="2"/>
                  <w:vAlign w:val="center"/>
                </w:tcPr>
                <w:p>
                  <w:pPr>
                    <w:adjustRightInd w:val="0"/>
                    <w:snapToGrid w:val="0"/>
                    <w:jc w:val="center"/>
                    <w:rPr>
                      <w:color w:val="auto"/>
                      <w:szCs w:val="21"/>
                    </w:rPr>
                  </w:pPr>
                  <w:r>
                    <w:rPr>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878" w:type="dxa"/>
                  <w:gridSpan w:val="2"/>
                  <w:vAlign w:val="center"/>
                </w:tcPr>
                <w:p>
                  <w:pPr>
                    <w:adjustRightInd w:val="0"/>
                    <w:snapToGrid w:val="0"/>
                    <w:jc w:val="center"/>
                    <w:rPr>
                      <w:color w:val="auto"/>
                      <w:szCs w:val="21"/>
                    </w:rPr>
                  </w:pPr>
                  <w:r>
                    <w:rPr>
                      <w:color w:val="auto"/>
                      <w:szCs w:val="21"/>
                    </w:rPr>
                    <w:t>不设超高的最小圆曲线半径（m）</w:t>
                  </w:r>
                </w:p>
              </w:tc>
              <w:tc>
                <w:tcPr>
                  <w:tcW w:w="3280" w:type="dxa"/>
                  <w:gridSpan w:val="2"/>
                  <w:vAlign w:val="center"/>
                </w:tcPr>
                <w:p>
                  <w:pPr>
                    <w:adjustRightInd w:val="0"/>
                    <w:snapToGrid w:val="0"/>
                    <w:jc w:val="center"/>
                    <w:rPr>
                      <w:color w:val="auto"/>
                      <w:szCs w:val="21"/>
                    </w:rPr>
                  </w:pPr>
                  <w:r>
                    <w:rPr>
                      <w:color w:val="auto"/>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761" w:type="dxa"/>
                  <w:vMerge w:val="restart"/>
                  <w:vAlign w:val="center"/>
                </w:tcPr>
                <w:p>
                  <w:pPr>
                    <w:adjustRightInd w:val="0"/>
                    <w:snapToGrid w:val="0"/>
                    <w:jc w:val="center"/>
                    <w:rPr>
                      <w:color w:val="auto"/>
                      <w:szCs w:val="21"/>
                    </w:rPr>
                  </w:pPr>
                  <w:r>
                    <w:rPr>
                      <w:color w:val="auto"/>
                      <w:szCs w:val="21"/>
                    </w:rPr>
                    <w:t>凸形竖曲线半径（m）</w:t>
                  </w:r>
                </w:p>
              </w:tc>
              <w:tc>
                <w:tcPr>
                  <w:tcW w:w="2117" w:type="dxa"/>
                  <w:vAlign w:val="center"/>
                </w:tcPr>
                <w:p>
                  <w:pPr>
                    <w:adjustRightInd w:val="0"/>
                    <w:snapToGrid w:val="0"/>
                    <w:jc w:val="center"/>
                    <w:rPr>
                      <w:color w:val="auto"/>
                      <w:szCs w:val="21"/>
                    </w:rPr>
                  </w:pPr>
                  <w:r>
                    <w:rPr>
                      <w:color w:val="auto"/>
                      <w:szCs w:val="21"/>
                    </w:rPr>
                    <w:t>极限最小值</w:t>
                  </w:r>
                </w:p>
              </w:tc>
              <w:tc>
                <w:tcPr>
                  <w:tcW w:w="3280" w:type="dxa"/>
                  <w:gridSpan w:val="2"/>
                  <w:vMerge w:val="restart"/>
                  <w:vAlign w:val="center"/>
                </w:tcPr>
                <w:p>
                  <w:pPr>
                    <w:adjustRightInd w:val="0"/>
                    <w:snapToGrid w:val="0"/>
                    <w:jc w:val="center"/>
                    <w:rPr>
                      <w:color w:val="auto"/>
                      <w:szCs w:val="21"/>
                    </w:rPr>
                  </w:pPr>
                  <w:r>
                    <w:rPr>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761" w:type="dxa"/>
                  <w:vMerge w:val="continue"/>
                  <w:vAlign w:val="center"/>
                </w:tcPr>
                <w:p>
                  <w:pPr>
                    <w:adjustRightInd w:val="0"/>
                    <w:snapToGrid w:val="0"/>
                    <w:jc w:val="center"/>
                    <w:rPr>
                      <w:color w:val="auto"/>
                      <w:szCs w:val="21"/>
                    </w:rPr>
                  </w:pPr>
                </w:p>
              </w:tc>
              <w:tc>
                <w:tcPr>
                  <w:tcW w:w="2117" w:type="dxa"/>
                  <w:vAlign w:val="center"/>
                </w:tcPr>
                <w:p>
                  <w:pPr>
                    <w:adjustRightInd w:val="0"/>
                    <w:snapToGrid w:val="0"/>
                    <w:jc w:val="center"/>
                    <w:rPr>
                      <w:color w:val="auto"/>
                      <w:szCs w:val="21"/>
                    </w:rPr>
                  </w:pPr>
                  <w:r>
                    <w:rPr>
                      <w:color w:val="auto"/>
                      <w:szCs w:val="21"/>
                    </w:rPr>
                    <w:t>一般最小值</w:t>
                  </w:r>
                </w:p>
              </w:tc>
              <w:tc>
                <w:tcPr>
                  <w:tcW w:w="3280" w:type="dxa"/>
                  <w:gridSpan w:val="2"/>
                  <w:vMerge w:val="continue"/>
                  <w:vAlign w:val="center"/>
                </w:tcPr>
                <w:p>
                  <w:pPr>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761" w:type="dxa"/>
                  <w:vMerge w:val="restart"/>
                  <w:vAlign w:val="center"/>
                </w:tcPr>
                <w:p>
                  <w:pPr>
                    <w:adjustRightInd w:val="0"/>
                    <w:snapToGrid w:val="0"/>
                    <w:jc w:val="center"/>
                    <w:rPr>
                      <w:color w:val="auto"/>
                      <w:szCs w:val="21"/>
                    </w:rPr>
                  </w:pPr>
                  <w:r>
                    <w:rPr>
                      <w:color w:val="auto"/>
                      <w:szCs w:val="21"/>
                    </w:rPr>
                    <w:t>凹形竖曲线半径（m）</w:t>
                  </w:r>
                </w:p>
              </w:tc>
              <w:tc>
                <w:tcPr>
                  <w:tcW w:w="2117" w:type="dxa"/>
                  <w:vAlign w:val="center"/>
                </w:tcPr>
                <w:p>
                  <w:pPr>
                    <w:adjustRightInd w:val="0"/>
                    <w:snapToGrid w:val="0"/>
                    <w:jc w:val="center"/>
                    <w:rPr>
                      <w:color w:val="auto"/>
                      <w:szCs w:val="21"/>
                    </w:rPr>
                  </w:pPr>
                  <w:r>
                    <w:rPr>
                      <w:color w:val="auto"/>
                      <w:szCs w:val="21"/>
                    </w:rPr>
                    <w:t>极限最小值</w:t>
                  </w:r>
                </w:p>
              </w:tc>
              <w:tc>
                <w:tcPr>
                  <w:tcW w:w="3280" w:type="dxa"/>
                  <w:gridSpan w:val="2"/>
                  <w:vMerge w:val="restart"/>
                  <w:vAlign w:val="center"/>
                </w:tcPr>
                <w:p>
                  <w:pPr>
                    <w:adjustRightInd w:val="0"/>
                    <w:snapToGrid w:val="0"/>
                    <w:jc w:val="center"/>
                    <w:rPr>
                      <w:color w:val="auto"/>
                      <w:szCs w:val="21"/>
                    </w:rPr>
                  </w:pPr>
                  <w:r>
                    <w:rPr>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761" w:type="dxa"/>
                  <w:vMerge w:val="continue"/>
                  <w:vAlign w:val="center"/>
                </w:tcPr>
                <w:p>
                  <w:pPr>
                    <w:adjustRightInd w:val="0"/>
                    <w:snapToGrid w:val="0"/>
                    <w:jc w:val="center"/>
                    <w:rPr>
                      <w:color w:val="auto"/>
                      <w:szCs w:val="21"/>
                    </w:rPr>
                  </w:pPr>
                </w:p>
              </w:tc>
              <w:tc>
                <w:tcPr>
                  <w:tcW w:w="2117" w:type="dxa"/>
                  <w:vAlign w:val="center"/>
                </w:tcPr>
                <w:p>
                  <w:pPr>
                    <w:adjustRightInd w:val="0"/>
                    <w:snapToGrid w:val="0"/>
                    <w:jc w:val="center"/>
                    <w:rPr>
                      <w:color w:val="auto"/>
                      <w:szCs w:val="21"/>
                    </w:rPr>
                  </w:pPr>
                  <w:r>
                    <w:rPr>
                      <w:color w:val="auto"/>
                      <w:szCs w:val="21"/>
                    </w:rPr>
                    <w:t>一般最小值</w:t>
                  </w:r>
                </w:p>
              </w:tc>
              <w:tc>
                <w:tcPr>
                  <w:tcW w:w="3280" w:type="dxa"/>
                  <w:gridSpan w:val="2"/>
                  <w:vMerge w:val="continue"/>
                  <w:vAlign w:val="center"/>
                </w:tcPr>
                <w:p>
                  <w:pPr>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878" w:type="dxa"/>
                  <w:gridSpan w:val="2"/>
                  <w:vAlign w:val="center"/>
                </w:tcPr>
                <w:p>
                  <w:pPr>
                    <w:adjustRightInd w:val="0"/>
                    <w:snapToGrid w:val="0"/>
                    <w:jc w:val="center"/>
                    <w:rPr>
                      <w:color w:val="auto"/>
                      <w:szCs w:val="21"/>
                    </w:rPr>
                  </w:pPr>
                  <w:r>
                    <w:rPr>
                      <w:color w:val="auto"/>
                      <w:szCs w:val="21"/>
                    </w:rPr>
                    <w:t>停车视距（m）</w:t>
                  </w:r>
                </w:p>
              </w:tc>
              <w:tc>
                <w:tcPr>
                  <w:tcW w:w="3280" w:type="dxa"/>
                  <w:gridSpan w:val="2"/>
                  <w:vAlign w:val="center"/>
                </w:tcPr>
                <w:p>
                  <w:pPr>
                    <w:adjustRightInd w:val="0"/>
                    <w:snapToGrid w:val="0"/>
                    <w:jc w:val="center"/>
                    <w:rPr>
                      <w:color w:val="auto"/>
                      <w:szCs w:val="21"/>
                    </w:rPr>
                  </w:pPr>
                  <w:r>
                    <w:rPr>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878" w:type="dxa"/>
                  <w:gridSpan w:val="2"/>
                  <w:vAlign w:val="center"/>
                </w:tcPr>
                <w:p>
                  <w:pPr>
                    <w:adjustRightInd w:val="0"/>
                    <w:snapToGrid w:val="0"/>
                    <w:jc w:val="center"/>
                    <w:rPr>
                      <w:color w:val="auto"/>
                      <w:szCs w:val="21"/>
                    </w:rPr>
                  </w:pPr>
                  <w:r>
                    <w:rPr>
                      <w:color w:val="auto"/>
                      <w:szCs w:val="21"/>
                    </w:rPr>
                    <w:t>会车视距（m）</w:t>
                  </w:r>
                </w:p>
              </w:tc>
              <w:tc>
                <w:tcPr>
                  <w:tcW w:w="3280" w:type="dxa"/>
                  <w:gridSpan w:val="2"/>
                  <w:vAlign w:val="center"/>
                </w:tcPr>
                <w:p>
                  <w:pPr>
                    <w:adjustRightInd w:val="0"/>
                    <w:snapToGrid w:val="0"/>
                    <w:jc w:val="center"/>
                    <w:rPr>
                      <w:color w:val="auto"/>
                      <w:szCs w:val="21"/>
                    </w:rPr>
                  </w:pPr>
                  <w:r>
                    <w:rPr>
                      <w:color w:val="auto"/>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878" w:type="dxa"/>
                  <w:gridSpan w:val="2"/>
                  <w:vAlign w:val="center"/>
                </w:tcPr>
                <w:p>
                  <w:pPr>
                    <w:adjustRightInd w:val="0"/>
                    <w:snapToGrid w:val="0"/>
                    <w:jc w:val="center"/>
                    <w:rPr>
                      <w:color w:val="auto"/>
                      <w:szCs w:val="21"/>
                    </w:rPr>
                  </w:pPr>
                  <w:r>
                    <w:rPr>
                      <w:color w:val="auto"/>
                      <w:szCs w:val="21"/>
                    </w:rPr>
                    <w:t>最大纵坡（％）</w:t>
                  </w:r>
                </w:p>
              </w:tc>
              <w:tc>
                <w:tcPr>
                  <w:tcW w:w="1731" w:type="dxa"/>
                  <w:vAlign w:val="center"/>
                </w:tcPr>
                <w:p>
                  <w:pPr>
                    <w:adjustRightInd w:val="0"/>
                    <w:snapToGrid w:val="0"/>
                    <w:jc w:val="center"/>
                    <w:rPr>
                      <w:color w:val="auto"/>
                      <w:szCs w:val="21"/>
                    </w:rPr>
                  </w:pPr>
                  <w:r>
                    <w:rPr>
                      <w:color w:val="auto"/>
                      <w:szCs w:val="21"/>
                    </w:rPr>
                    <w:t>9</w:t>
                  </w:r>
                </w:p>
              </w:tc>
              <w:tc>
                <w:tcPr>
                  <w:tcW w:w="1549" w:type="dxa"/>
                  <w:vAlign w:val="center"/>
                </w:tcPr>
                <w:p>
                  <w:pPr>
                    <w:adjustRightInd w:val="0"/>
                    <w:snapToGrid w:val="0"/>
                    <w:jc w:val="center"/>
                    <w:rPr>
                      <w:color w:val="auto"/>
                      <w:szCs w:val="21"/>
                    </w:rPr>
                  </w:pPr>
                  <w:r>
                    <w:rPr>
                      <w:color w:val="auto"/>
                      <w:szCs w:val="21"/>
                    </w:rPr>
                    <w:t>12</w:t>
                  </w:r>
                </w:p>
              </w:tc>
            </w:tr>
          </w:tbl>
          <w:p>
            <w:pPr>
              <w:pStyle w:val="91"/>
              <w:spacing w:line="360" w:lineRule="auto"/>
              <w:ind w:left="420" w:leftChars="200" w:firstLine="0" w:firstLineChars="0"/>
              <w:rPr>
                <w:rFonts w:hAnsi="Times New Roman"/>
                <w:b/>
                <w:bCs/>
                <w:color w:val="auto"/>
                <w:kern w:val="0"/>
                <w:sz w:val="24"/>
              </w:rPr>
            </w:pPr>
            <w:r>
              <w:rPr>
                <w:rFonts w:hint="eastAsia" w:hAnsi="Times New Roman"/>
                <w:b/>
                <w:bCs/>
                <w:color w:val="auto"/>
                <w:kern w:val="0"/>
                <w:sz w:val="24"/>
              </w:rPr>
              <w:t>4、</w:t>
            </w:r>
            <w:r>
              <w:rPr>
                <w:rFonts w:hAnsi="Times New Roman"/>
                <w:b/>
                <w:bCs/>
                <w:color w:val="auto"/>
                <w:kern w:val="0"/>
                <w:sz w:val="24"/>
              </w:rPr>
              <w:t>主要原辅材料</w:t>
            </w:r>
            <w:r>
              <w:rPr>
                <w:rFonts w:hint="eastAsia" w:hAnsi="Times New Roman"/>
                <w:b/>
                <w:bCs/>
                <w:color w:val="auto"/>
                <w:kern w:val="0"/>
                <w:sz w:val="24"/>
              </w:rPr>
              <w:t>、</w:t>
            </w:r>
            <w:r>
              <w:rPr>
                <w:rFonts w:hAnsi="Times New Roman"/>
                <w:b/>
                <w:bCs/>
                <w:color w:val="auto"/>
                <w:kern w:val="0"/>
                <w:sz w:val="24"/>
              </w:rPr>
              <w:t>能源消耗</w:t>
            </w:r>
            <w:r>
              <w:rPr>
                <w:rFonts w:hint="eastAsia" w:hAnsi="Times New Roman"/>
                <w:b/>
                <w:bCs/>
                <w:color w:val="auto"/>
                <w:kern w:val="0"/>
                <w:sz w:val="24"/>
              </w:rPr>
              <w:t>及物料平衡</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根据建设单位提供资料，本项目三个处理站900m³/d的处理规模共消耗的主要原辅材料见表2-8。</w:t>
            </w:r>
          </w:p>
          <w:p>
            <w:pPr>
              <w:pStyle w:val="33"/>
              <w:ind w:left="0" w:leftChars="0" w:firstLine="0"/>
              <w:jc w:val="center"/>
              <w:rPr>
                <w:rFonts w:ascii="黑体" w:hAnsi="黑体" w:eastAsia="黑体" w:cs="黑体"/>
                <w:color w:val="auto"/>
                <w:sz w:val="21"/>
              </w:rPr>
            </w:pPr>
            <w:r>
              <w:rPr>
                <w:rFonts w:hint="eastAsia" w:ascii="黑体" w:hAnsi="黑体" w:eastAsia="黑体" w:cs="黑体"/>
                <w:color w:val="auto"/>
                <w:sz w:val="21"/>
              </w:rPr>
              <w:t>表2-8  原辅材料消耗量一览表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519"/>
              <w:gridCol w:w="825"/>
              <w:gridCol w:w="735"/>
              <w:gridCol w:w="2309"/>
              <w:gridCol w:w="2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58" w:type="dxa"/>
                  <w:vMerge w:val="restart"/>
                  <w:vAlign w:val="center"/>
                </w:tcPr>
                <w:p>
                  <w:pPr>
                    <w:adjustRightInd w:val="0"/>
                    <w:snapToGrid w:val="0"/>
                    <w:jc w:val="center"/>
                    <w:rPr>
                      <w:color w:val="auto"/>
                      <w:szCs w:val="21"/>
                      <w:lang w:val="zh-CN"/>
                    </w:rPr>
                  </w:pPr>
                  <w:r>
                    <w:rPr>
                      <w:rFonts w:hint="eastAsia"/>
                      <w:color w:val="auto"/>
                      <w:szCs w:val="21"/>
                      <w:lang w:val="zh-CN"/>
                    </w:rPr>
                    <w:t>序号</w:t>
                  </w:r>
                </w:p>
              </w:tc>
              <w:tc>
                <w:tcPr>
                  <w:tcW w:w="1519" w:type="dxa"/>
                  <w:vMerge w:val="restart"/>
                  <w:vAlign w:val="center"/>
                </w:tcPr>
                <w:p>
                  <w:pPr>
                    <w:adjustRightInd w:val="0"/>
                    <w:snapToGrid w:val="0"/>
                    <w:jc w:val="center"/>
                    <w:rPr>
                      <w:color w:val="auto"/>
                      <w:szCs w:val="21"/>
                      <w:lang w:val="zh-CN"/>
                    </w:rPr>
                  </w:pPr>
                  <w:r>
                    <w:rPr>
                      <w:rFonts w:hint="eastAsia"/>
                      <w:color w:val="auto"/>
                      <w:szCs w:val="21"/>
                      <w:lang w:val="zh-CN"/>
                    </w:rPr>
                    <w:t>原辅材料名称</w:t>
                  </w:r>
                </w:p>
              </w:tc>
              <w:tc>
                <w:tcPr>
                  <w:tcW w:w="1560" w:type="dxa"/>
                  <w:gridSpan w:val="2"/>
                  <w:vAlign w:val="center"/>
                </w:tcPr>
                <w:p>
                  <w:pPr>
                    <w:adjustRightInd w:val="0"/>
                    <w:snapToGrid w:val="0"/>
                    <w:jc w:val="center"/>
                    <w:rPr>
                      <w:color w:val="auto"/>
                      <w:szCs w:val="21"/>
                      <w:lang w:val="zh-CN"/>
                    </w:rPr>
                  </w:pPr>
                  <w:r>
                    <w:rPr>
                      <w:rFonts w:hint="eastAsia"/>
                      <w:color w:val="auto"/>
                      <w:szCs w:val="21"/>
                      <w:lang w:val="zh-CN"/>
                    </w:rPr>
                    <w:t>用量</w:t>
                  </w:r>
                </w:p>
              </w:tc>
              <w:tc>
                <w:tcPr>
                  <w:tcW w:w="2309" w:type="dxa"/>
                  <w:vMerge w:val="restart"/>
                  <w:vAlign w:val="center"/>
                </w:tcPr>
                <w:p>
                  <w:pPr>
                    <w:adjustRightInd w:val="0"/>
                    <w:snapToGrid w:val="0"/>
                    <w:jc w:val="center"/>
                    <w:rPr>
                      <w:color w:val="auto"/>
                      <w:szCs w:val="21"/>
                      <w:lang w:val="zh-CN"/>
                    </w:rPr>
                  </w:pPr>
                  <w:r>
                    <w:rPr>
                      <w:rFonts w:hint="eastAsia"/>
                      <w:color w:val="auto"/>
                      <w:szCs w:val="21"/>
                      <w:lang w:val="zh-CN"/>
                    </w:rPr>
                    <w:t>来源</w:t>
                  </w:r>
                </w:p>
              </w:tc>
              <w:tc>
                <w:tcPr>
                  <w:tcW w:w="2151" w:type="dxa"/>
                  <w:vMerge w:val="restart"/>
                  <w:vAlign w:val="center"/>
                </w:tcPr>
                <w:p>
                  <w:pPr>
                    <w:adjustRightInd w:val="0"/>
                    <w:snapToGrid w:val="0"/>
                    <w:jc w:val="center"/>
                    <w:rPr>
                      <w:color w:val="auto"/>
                      <w:szCs w:val="21"/>
                      <w:lang w:val="zh-CN"/>
                    </w:rPr>
                  </w:pPr>
                  <w:r>
                    <w:rPr>
                      <w:rFonts w:hint="eastAsia"/>
                      <w:color w:val="auto"/>
                      <w:szCs w:val="21"/>
                      <w:lang w:val="zh-CN"/>
                    </w:rPr>
                    <w:t>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558" w:type="dxa"/>
                  <w:vMerge w:val="continue"/>
                  <w:vAlign w:val="center"/>
                </w:tcPr>
                <w:p>
                  <w:pPr>
                    <w:adjustRightInd w:val="0"/>
                    <w:snapToGrid w:val="0"/>
                    <w:jc w:val="center"/>
                    <w:rPr>
                      <w:color w:val="auto"/>
                      <w:szCs w:val="21"/>
                      <w:lang w:val="zh-CN"/>
                    </w:rPr>
                  </w:pPr>
                </w:p>
              </w:tc>
              <w:tc>
                <w:tcPr>
                  <w:tcW w:w="1519" w:type="dxa"/>
                  <w:vMerge w:val="continue"/>
                  <w:vAlign w:val="center"/>
                </w:tcPr>
                <w:p>
                  <w:pPr>
                    <w:adjustRightInd w:val="0"/>
                    <w:snapToGrid w:val="0"/>
                    <w:jc w:val="center"/>
                    <w:rPr>
                      <w:color w:val="auto"/>
                      <w:szCs w:val="21"/>
                      <w:lang w:val="zh-CN"/>
                    </w:rPr>
                  </w:pPr>
                </w:p>
              </w:tc>
              <w:tc>
                <w:tcPr>
                  <w:tcW w:w="825" w:type="dxa"/>
                  <w:vAlign w:val="center"/>
                </w:tcPr>
                <w:p>
                  <w:pPr>
                    <w:adjustRightInd w:val="0"/>
                    <w:snapToGrid w:val="0"/>
                    <w:jc w:val="center"/>
                    <w:rPr>
                      <w:color w:val="auto"/>
                      <w:szCs w:val="21"/>
                      <w:lang w:val="zh-CN"/>
                    </w:rPr>
                  </w:pPr>
                  <w:r>
                    <w:rPr>
                      <w:rFonts w:hint="eastAsia"/>
                      <w:color w:val="auto"/>
                      <w:szCs w:val="21"/>
                      <w:lang w:val="zh-CN"/>
                    </w:rPr>
                    <w:t>kg/d</w:t>
                  </w:r>
                </w:p>
              </w:tc>
              <w:tc>
                <w:tcPr>
                  <w:tcW w:w="735" w:type="dxa"/>
                  <w:vAlign w:val="center"/>
                </w:tcPr>
                <w:p>
                  <w:pPr>
                    <w:adjustRightInd w:val="0"/>
                    <w:snapToGrid w:val="0"/>
                    <w:jc w:val="center"/>
                    <w:rPr>
                      <w:color w:val="auto"/>
                      <w:szCs w:val="21"/>
                      <w:lang w:val="zh-CN"/>
                    </w:rPr>
                  </w:pPr>
                  <w:r>
                    <w:rPr>
                      <w:rFonts w:hint="eastAsia"/>
                      <w:color w:val="auto"/>
                      <w:szCs w:val="21"/>
                      <w:lang w:val="zh-CN"/>
                    </w:rPr>
                    <w:t>t/a</w:t>
                  </w:r>
                </w:p>
              </w:tc>
              <w:tc>
                <w:tcPr>
                  <w:tcW w:w="2309" w:type="dxa"/>
                  <w:vMerge w:val="continue"/>
                  <w:vAlign w:val="center"/>
                </w:tcPr>
                <w:p>
                  <w:pPr>
                    <w:adjustRightInd w:val="0"/>
                    <w:snapToGrid w:val="0"/>
                    <w:jc w:val="center"/>
                    <w:rPr>
                      <w:color w:val="auto"/>
                      <w:szCs w:val="21"/>
                      <w:lang w:val="zh-CN"/>
                    </w:rPr>
                  </w:pPr>
                </w:p>
              </w:tc>
              <w:tc>
                <w:tcPr>
                  <w:tcW w:w="2151" w:type="dxa"/>
                  <w:vMerge w:val="continue"/>
                  <w:vAlign w:val="center"/>
                </w:tcPr>
                <w:p>
                  <w:pPr>
                    <w:adjustRightInd w:val="0"/>
                    <w:snapToGrid w:val="0"/>
                    <w:jc w:val="center"/>
                    <w:rPr>
                      <w:color w:val="auto"/>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58" w:type="dxa"/>
                  <w:vAlign w:val="center"/>
                </w:tcPr>
                <w:p>
                  <w:pPr>
                    <w:adjustRightInd w:val="0"/>
                    <w:snapToGrid w:val="0"/>
                    <w:jc w:val="center"/>
                    <w:rPr>
                      <w:color w:val="auto"/>
                      <w:szCs w:val="21"/>
                      <w:lang w:val="zh-CN"/>
                    </w:rPr>
                  </w:pPr>
                  <w:r>
                    <w:rPr>
                      <w:rFonts w:hint="eastAsia"/>
                      <w:color w:val="auto"/>
                      <w:szCs w:val="21"/>
                      <w:lang w:val="zh-CN"/>
                    </w:rPr>
                    <w:t>1</w:t>
                  </w:r>
                </w:p>
              </w:tc>
              <w:tc>
                <w:tcPr>
                  <w:tcW w:w="1519" w:type="dxa"/>
                  <w:vAlign w:val="center"/>
                </w:tcPr>
                <w:p>
                  <w:pPr>
                    <w:adjustRightInd w:val="0"/>
                    <w:snapToGrid w:val="0"/>
                    <w:jc w:val="center"/>
                    <w:rPr>
                      <w:color w:val="auto"/>
                      <w:szCs w:val="21"/>
                    </w:rPr>
                  </w:pPr>
                  <w:r>
                    <w:rPr>
                      <w:rFonts w:hint="eastAsia"/>
                      <w:color w:val="auto"/>
                      <w:szCs w:val="21"/>
                      <w:lang w:val="zh-CN"/>
                    </w:rPr>
                    <w:t>混凝剂</w:t>
                  </w:r>
                  <w:r>
                    <w:rPr>
                      <w:rFonts w:hint="eastAsia"/>
                      <w:color w:val="auto"/>
                      <w:szCs w:val="21"/>
                    </w:rPr>
                    <w:t>1</w:t>
                  </w:r>
                </w:p>
              </w:tc>
              <w:tc>
                <w:tcPr>
                  <w:tcW w:w="825" w:type="dxa"/>
                  <w:vAlign w:val="center"/>
                </w:tcPr>
                <w:p>
                  <w:pPr>
                    <w:adjustRightInd w:val="0"/>
                    <w:snapToGrid w:val="0"/>
                    <w:jc w:val="center"/>
                    <w:rPr>
                      <w:color w:val="auto"/>
                      <w:szCs w:val="21"/>
                    </w:rPr>
                  </w:pPr>
                  <w:r>
                    <w:rPr>
                      <w:rFonts w:hint="eastAsia"/>
                      <w:color w:val="auto"/>
                      <w:szCs w:val="21"/>
                    </w:rPr>
                    <w:t>18</w:t>
                  </w:r>
                </w:p>
              </w:tc>
              <w:tc>
                <w:tcPr>
                  <w:tcW w:w="735" w:type="dxa"/>
                  <w:vAlign w:val="center"/>
                </w:tcPr>
                <w:p>
                  <w:pPr>
                    <w:adjustRightInd w:val="0"/>
                    <w:snapToGrid w:val="0"/>
                    <w:jc w:val="center"/>
                    <w:rPr>
                      <w:color w:val="auto"/>
                      <w:szCs w:val="21"/>
                    </w:rPr>
                  </w:pPr>
                  <w:r>
                    <w:rPr>
                      <w:rFonts w:hint="eastAsia"/>
                      <w:color w:val="auto"/>
                      <w:szCs w:val="21"/>
                    </w:rPr>
                    <w:t>6.48</w:t>
                  </w:r>
                </w:p>
              </w:tc>
              <w:tc>
                <w:tcPr>
                  <w:tcW w:w="2309" w:type="dxa"/>
                  <w:vAlign w:val="center"/>
                </w:tcPr>
                <w:p>
                  <w:pPr>
                    <w:adjustRightInd w:val="0"/>
                    <w:snapToGrid w:val="0"/>
                    <w:jc w:val="center"/>
                    <w:rPr>
                      <w:color w:val="auto"/>
                      <w:szCs w:val="21"/>
                      <w:lang w:val="zh-CN"/>
                    </w:rPr>
                  </w:pPr>
                  <w:r>
                    <w:rPr>
                      <w:rFonts w:hint="eastAsia"/>
                      <w:color w:val="auto"/>
                      <w:szCs w:val="21"/>
                      <w:lang w:val="zh-CN"/>
                    </w:rPr>
                    <w:t>外购</w:t>
                  </w:r>
                </w:p>
              </w:tc>
              <w:tc>
                <w:tcPr>
                  <w:tcW w:w="2151" w:type="dxa"/>
                  <w:vAlign w:val="center"/>
                </w:tcPr>
                <w:p>
                  <w:pPr>
                    <w:adjustRightInd w:val="0"/>
                    <w:snapToGrid w:val="0"/>
                    <w:jc w:val="center"/>
                    <w:rPr>
                      <w:color w:val="auto"/>
                      <w:szCs w:val="21"/>
                      <w:lang w:val="zh-CN"/>
                    </w:rPr>
                  </w:pPr>
                  <w:r>
                    <w:rPr>
                      <w:rFonts w:hint="eastAsia"/>
                      <w:color w:val="auto"/>
                      <w:szCs w:val="21"/>
                    </w:rPr>
                    <w:t>PAC（</w:t>
                  </w:r>
                  <w:r>
                    <w:rPr>
                      <w:rFonts w:hint="eastAsia"/>
                      <w:color w:val="auto"/>
                      <w:szCs w:val="21"/>
                      <w:lang w:val="zh-CN"/>
                    </w:rPr>
                    <w:t>聚合氯化铝</w:t>
                  </w: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58" w:type="dxa"/>
                  <w:vAlign w:val="center"/>
                </w:tcPr>
                <w:p>
                  <w:pPr>
                    <w:adjustRightInd w:val="0"/>
                    <w:snapToGrid w:val="0"/>
                    <w:jc w:val="center"/>
                    <w:rPr>
                      <w:color w:val="auto"/>
                      <w:szCs w:val="21"/>
                      <w:lang w:val="zh-CN"/>
                    </w:rPr>
                  </w:pPr>
                  <w:r>
                    <w:rPr>
                      <w:rFonts w:hint="eastAsia"/>
                      <w:color w:val="auto"/>
                      <w:szCs w:val="21"/>
                      <w:lang w:val="zh-CN"/>
                    </w:rPr>
                    <w:t>2</w:t>
                  </w:r>
                </w:p>
              </w:tc>
              <w:tc>
                <w:tcPr>
                  <w:tcW w:w="1519" w:type="dxa"/>
                  <w:vAlign w:val="center"/>
                </w:tcPr>
                <w:p>
                  <w:pPr>
                    <w:adjustRightInd w:val="0"/>
                    <w:snapToGrid w:val="0"/>
                    <w:jc w:val="center"/>
                    <w:rPr>
                      <w:color w:val="auto"/>
                      <w:szCs w:val="21"/>
                    </w:rPr>
                  </w:pPr>
                  <w:r>
                    <w:rPr>
                      <w:rFonts w:hint="eastAsia"/>
                      <w:color w:val="auto"/>
                      <w:szCs w:val="21"/>
                      <w:lang w:val="zh-CN"/>
                    </w:rPr>
                    <w:t>混凝剂</w:t>
                  </w:r>
                  <w:r>
                    <w:rPr>
                      <w:rFonts w:hint="eastAsia"/>
                      <w:color w:val="auto"/>
                      <w:szCs w:val="21"/>
                    </w:rPr>
                    <w:t>2</w:t>
                  </w:r>
                </w:p>
              </w:tc>
              <w:tc>
                <w:tcPr>
                  <w:tcW w:w="825" w:type="dxa"/>
                  <w:vAlign w:val="center"/>
                </w:tcPr>
                <w:p>
                  <w:pPr>
                    <w:adjustRightInd w:val="0"/>
                    <w:snapToGrid w:val="0"/>
                    <w:jc w:val="center"/>
                    <w:rPr>
                      <w:color w:val="auto"/>
                      <w:szCs w:val="21"/>
                    </w:rPr>
                  </w:pPr>
                  <w:r>
                    <w:rPr>
                      <w:rFonts w:hint="eastAsia"/>
                      <w:color w:val="auto"/>
                      <w:szCs w:val="21"/>
                    </w:rPr>
                    <w:t>2.4</w:t>
                  </w:r>
                </w:p>
              </w:tc>
              <w:tc>
                <w:tcPr>
                  <w:tcW w:w="735" w:type="dxa"/>
                  <w:vAlign w:val="center"/>
                </w:tcPr>
                <w:p>
                  <w:pPr>
                    <w:adjustRightInd w:val="0"/>
                    <w:snapToGrid w:val="0"/>
                    <w:jc w:val="center"/>
                    <w:rPr>
                      <w:color w:val="auto"/>
                      <w:szCs w:val="21"/>
                    </w:rPr>
                  </w:pPr>
                  <w:r>
                    <w:rPr>
                      <w:rFonts w:hint="eastAsia"/>
                      <w:color w:val="auto"/>
                      <w:szCs w:val="21"/>
                    </w:rPr>
                    <w:t>0.86</w:t>
                  </w:r>
                </w:p>
              </w:tc>
              <w:tc>
                <w:tcPr>
                  <w:tcW w:w="2309" w:type="dxa"/>
                  <w:vAlign w:val="center"/>
                </w:tcPr>
                <w:p>
                  <w:pPr>
                    <w:adjustRightInd w:val="0"/>
                    <w:snapToGrid w:val="0"/>
                    <w:jc w:val="center"/>
                    <w:rPr>
                      <w:color w:val="auto"/>
                      <w:szCs w:val="21"/>
                      <w:lang w:val="zh-CN"/>
                    </w:rPr>
                  </w:pPr>
                  <w:r>
                    <w:rPr>
                      <w:rFonts w:hint="eastAsia"/>
                      <w:color w:val="auto"/>
                      <w:szCs w:val="21"/>
                      <w:lang w:val="zh-CN"/>
                    </w:rPr>
                    <w:t>外购</w:t>
                  </w:r>
                </w:p>
              </w:tc>
              <w:tc>
                <w:tcPr>
                  <w:tcW w:w="2151" w:type="dxa"/>
                  <w:vAlign w:val="center"/>
                </w:tcPr>
                <w:p>
                  <w:pPr>
                    <w:adjustRightInd w:val="0"/>
                    <w:snapToGrid w:val="0"/>
                    <w:jc w:val="center"/>
                    <w:rPr>
                      <w:color w:val="auto"/>
                      <w:szCs w:val="21"/>
                      <w:lang w:val="zh-CN"/>
                    </w:rPr>
                  </w:pPr>
                  <w:r>
                    <w:rPr>
                      <w:rFonts w:hint="eastAsia"/>
                      <w:color w:val="auto"/>
                      <w:szCs w:val="21"/>
                    </w:rPr>
                    <w:t>PAM（</w:t>
                  </w:r>
                  <w:r>
                    <w:rPr>
                      <w:rFonts w:hint="eastAsia"/>
                      <w:color w:val="auto"/>
                      <w:szCs w:val="21"/>
                      <w:lang w:val="zh-CN"/>
                    </w:rPr>
                    <w:t>聚丙烯酰胺</w:t>
                  </w: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58" w:type="dxa"/>
                  <w:vAlign w:val="center"/>
                </w:tcPr>
                <w:p>
                  <w:pPr>
                    <w:adjustRightInd w:val="0"/>
                    <w:snapToGrid w:val="0"/>
                    <w:jc w:val="center"/>
                    <w:rPr>
                      <w:color w:val="auto"/>
                      <w:szCs w:val="21"/>
                      <w:lang w:val="zh-CN"/>
                    </w:rPr>
                  </w:pPr>
                  <w:r>
                    <w:rPr>
                      <w:rFonts w:hint="eastAsia"/>
                      <w:color w:val="auto"/>
                      <w:szCs w:val="21"/>
                      <w:lang w:val="zh-CN"/>
                    </w:rPr>
                    <w:t>3</w:t>
                  </w:r>
                </w:p>
              </w:tc>
              <w:tc>
                <w:tcPr>
                  <w:tcW w:w="1519" w:type="dxa"/>
                  <w:vAlign w:val="center"/>
                </w:tcPr>
                <w:p>
                  <w:pPr>
                    <w:adjustRightInd w:val="0"/>
                    <w:snapToGrid w:val="0"/>
                    <w:jc w:val="center"/>
                    <w:rPr>
                      <w:color w:val="auto"/>
                      <w:szCs w:val="21"/>
                      <w:lang w:val="zh-CN"/>
                    </w:rPr>
                  </w:pPr>
                  <w:r>
                    <w:rPr>
                      <w:rFonts w:hint="eastAsia"/>
                      <w:color w:val="auto"/>
                      <w:szCs w:val="21"/>
                    </w:rPr>
                    <w:t>固体片碱</w:t>
                  </w:r>
                </w:p>
              </w:tc>
              <w:tc>
                <w:tcPr>
                  <w:tcW w:w="825" w:type="dxa"/>
                  <w:vAlign w:val="center"/>
                </w:tcPr>
                <w:p>
                  <w:pPr>
                    <w:adjustRightInd w:val="0"/>
                    <w:snapToGrid w:val="0"/>
                    <w:jc w:val="center"/>
                    <w:rPr>
                      <w:color w:val="auto"/>
                      <w:szCs w:val="21"/>
                    </w:rPr>
                  </w:pPr>
                  <w:r>
                    <w:rPr>
                      <w:rFonts w:hint="eastAsia"/>
                      <w:color w:val="auto"/>
                      <w:szCs w:val="21"/>
                    </w:rPr>
                    <w:t>4.5</w:t>
                  </w:r>
                </w:p>
              </w:tc>
              <w:tc>
                <w:tcPr>
                  <w:tcW w:w="735" w:type="dxa"/>
                  <w:vAlign w:val="center"/>
                </w:tcPr>
                <w:p>
                  <w:pPr>
                    <w:adjustRightInd w:val="0"/>
                    <w:snapToGrid w:val="0"/>
                    <w:jc w:val="center"/>
                    <w:rPr>
                      <w:color w:val="auto"/>
                      <w:szCs w:val="21"/>
                    </w:rPr>
                  </w:pPr>
                  <w:r>
                    <w:rPr>
                      <w:rFonts w:hint="eastAsia"/>
                      <w:color w:val="auto"/>
                      <w:szCs w:val="21"/>
                    </w:rPr>
                    <w:t>1.62</w:t>
                  </w:r>
                </w:p>
              </w:tc>
              <w:tc>
                <w:tcPr>
                  <w:tcW w:w="2309" w:type="dxa"/>
                  <w:vAlign w:val="center"/>
                </w:tcPr>
                <w:p>
                  <w:pPr>
                    <w:adjustRightInd w:val="0"/>
                    <w:snapToGrid w:val="0"/>
                    <w:jc w:val="center"/>
                    <w:rPr>
                      <w:color w:val="auto"/>
                      <w:szCs w:val="21"/>
                      <w:lang w:val="zh-CN"/>
                    </w:rPr>
                  </w:pPr>
                  <w:r>
                    <w:rPr>
                      <w:rFonts w:hint="eastAsia"/>
                      <w:color w:val="auto"/>
                      <w:szCs w:val="21"/>
                      <w:lang w:val="zh-CN"/>
                    </w:rPr>
                    <w:t>外购</w:t>
                  </w:r>
                </w:p>
              </w:tc>
              <w:tc>
                <w:tcPr>
                  <w:tcW w:w="2151" w:type="dxa"/>
                  <w:vAlign w:val="center"/>
                </w:tcPr>
                <w:p>
                  <w:pPr>
                    <w:adjustRightInd w:val="0"/>
                    <w:snapToGrid w:val="0"/>
                    <w:jc w:val="center"/>
                    <w:rPr>
                      <w:color w:val="auto"/>
                      <w:szCs w:val="21"/>
                      <w:lang w:val="zh-CN"/>
                    </w:rPr>
                  </w:pPr>
                  <w:r>
                    <w:rPr>
                      <w:rFonts w:hint="eastAsia"/>
                      <w:color w:val="auto"/>
                      <w:szCs w:val="21"/>
                    </w:rPr>
                    <w:t>氢氧化钠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558" w:type="dxa"/>
                  <w:vAlign w:val="center"/>
                </w:tcPr>
                <w:p>
                  <w:pPr>
                    <w:adjustRightInd w:val="0"/>
                    <w:snapToGrid w:val="0"/>
                    <w:jc w:val="center"/>
                    <w:rPr>
                      <w:color w:val="auto"/>
                      <w:szCs w:val="21"/>
                    </w:rPr>
                  </w:pPr>
                  <w:r>
                    <w:rPr>
                      <w:rFonts w:hint="eastAsia"/>
                      <w:color w:val="auto"/>
                      <w:szCs w:val="21"/>
                    </w:rPr>
                    <w:t>4</w:t>
                  </w:r>
                </w:p>
              </w:tc>
              <w:tc>
                <w:tcPr>
                  <w:tcW w:w="1519" w:type="dxa"/>
                  <w:vAlign w:val="center"/>
                </w:tcPr>
                <w:p>
                  <w:pPr>
                    <w:adjustRightInd w:val="0"/>
                    <w:snapToGrid w:val="0"/>
                    <w:jc w:val="center"/>
                    <w:rPr>
                      <w:color w:val="auto"/>
                      <w:szCs w:val="21"/>
                    </w:rPr>
                  </w:pPr>
                  <w:r>
                    <w:rPr>
                      <w:rFonts w:hint="eastAsia"/>
                      <w:color w:val="auto"/>
                      <w:szCs w:val="21"/>
                    </w:rPr>
                    <w:t>阻垢剂</w:t>
                  </w:r>
                </w:p>
              </w:tc>
              <w:tc>
                <w:tcPr>
                  <w:tcW w:w="825" w:type="dxa"/>
                  <w:vAlign w:val="center"/>
                </w:tcPr>
                <w:p>
                  <w:pPr>
                    <w:adjustRightInd w:val="0"/>
                    <w:snapToGrid w:val="0"/>
                    <w:jc w:val="center"/>
                    <w:rPr>
                      <w:color w:val="auto"/>
                      <w:szCs w:val="21"/>
                    </w:rPr>
                  </w:pPr>
                  <w:r>
                    <w:rPr>
                      <w:rFonts w:hint="eastAsia"/>
                      <w:color w:val="auto"/>
                      <w:szCs w:val="21"/>
                    </w:rPr>
                    <w:t>9</w:t>
                  </w:r>
                </w:p>
              </w:tc>
              <w:tc>
                <w:tcPr>
                  <w:tcW w:w="735" w:type="dxa"/>
                  <w:vAlign w:val="center"/>
                </w:tcPr>
                <w:p>
                  <w:pPr>
                    <w:adjustRightInd w:val="0"/>
                    <w:snapToGrid w:val="0"/>
                    <w:jc w:val="center"/>
                    <w:rPr>
                      <w:color w:val="auto"/>
                      <w:szCs w:val="21"/>
                    </w:rPr>
                  </w:pPr>
                  <w:r>
                    <w:rPr>
                      <w:rFonts w:hint="eastAsia"/>
                      <w:color w:val="auto"/>
                      <w:szCs w:val="21"/>
                    </w:rPr>
                    <w:t>3.24</w:t>
                  </w:r>
                </w:p>
              </w:tc>
              <w:tc>
                <w:tcPr>
                  <w:tcW w:w="2309" w:type="dxa"/>
                  <w:vAlign w:val="center"/>
                </w:tcPr>
                <w:p>
                  <w:pPr>
                    <w:adjustRightInd w:val="0"/>
                    <w:snapToGrid w:val="0"/>
                    <w:jc w:val="center"/>
                    <w:rPr>
                      <w:color w:val="auto"/>
                      <w:szCs w:val="21"/>
                      <w:lang w:val="zh-CN"/>
                    </w:rPr>
                  </w:pPr>
                  <w:r>
                    <w:rPr>
                      <w:rFonts w:hint="eastAsia"/>
                      <w:color w:val="auto"/>
                      <w:szCs w:val="21"/>
                      <w:lang w:val="zh-CN"/>
                    </w:rPr>
                    <w:t>外购</w:t>
                  </w:r>
                </w:p>
              </w:tc>
              <w:tc>
                <w:tcPr>
                  <w:tcW w:w="2151" w:type="dxa"/>
                  <w:vAlign w:val="center"/>
                </w:tcPr>
                <w:p>
                  <w:pPr>
                    <w:adjustRightInd w:val="0"/>
                    <w:snapToGrid w:val="0"/>
                    <w:jc w:val="center"/>
                    <w:rPr>
                      <w:color w:val="auto"/>
                      <w:szCs w:val="21"/>
                      <w:lang w:val="zh-CN"/>
                    </w:rPr>
                  </w:pPr>
                  <w:r>
                    <w:rPr>
                      <w:rFonts w:hint="eastAsia"/>
                      <w:color w:val="auto"/>
                      <w:szCs w:val="21"/>
                    </w:rPr>
                    <w:t>5-氯-2-甲基-4-异噻唑啉-3-酮：1-5%；2-甲基-4-异噻唑啉-3-酮：0.1-1%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58" w:type="dxa"/>
                  <w:vAlign w:val="center"/>
                </w:tcPr>
                <w:p>
                  <w:pPr>
                    <w:adjustRightInd w:val="0"/>
                    <w:snapToGrid w:val="0"/>
                    <w:jc w:val="center"/>
                    <w:rPr>
                      <w:color w:val="auto"/>
                      <w:szCs w:val="21"/>
                    </w:rPr>
                  </w:pPr>
                  <w:r>
                    <w:rPr>
                      <w:rFonts w:hint="eastAsia"/>
                      <w:color w:val="auto"/>
                      <w:szCs w:val="21"/>
                    </w:rPr>
                    <w:t>5</w:t>
                  </w:r>
                </w:p>
              </w:tc>
              <w:tc>
                <w:tcPr>
                  <w:tcW w:w="1519" w:type="dxa"/>
                  <w:vAlign w:val="center"/>
                </w:tcPr>
                <w:p>
                  <w:pPr>
                    <w:adjustRightInd w:val="0"/>
                    <w:snapToGrid w:val="0"/>
                    <w:jc w:val="center"/>
                    <w:rPr>
                      <w:color w:val="auto"/>
                      <w:szCs w:val="21"/>
                      <w:lang w:val="zh-CN"/>
                    </w:rPr>
                  </w:pPr>
                  <w:r>
                    <w:rPr>
                      <w:rFonts w:hint="eastAsia"/>
                      <w:color w:val="auto"/>
                      <w:szCs w:val="21"/>
                    </w:rPr>
                    <w:t>杀菌剂</w:t>
                  </w:r>
                </w:p>
              </w:tc>
              <w:tc>
                <w:tcPr>
                  <w:tcW w:w="825" w:type="dxa"/>
                  <w:vAlign w:val="center"/>
                </w:tcPr>
                <w:p>
                  <w:pPr>
                    <w:adjustRightInd w:val="0"/>
                    <w:snapToGrid w:val="0"/>
                    <w:jc w:val="center"/>
                    <w:rPr>
                      <w:color w:val="auto"/>
                      <w:szCs w:val="21"/>
                    </w:rPr>
                  </w:pPr>
                  <w:r>
                    <w:rPr>
                      <w:rFonts w:hint="eastAsia"/>
                      <w:color w:val="auto"/>
                      <w:szCs w:val="21"/>
                    </w:rPr>
                    <w:t>8.1</w:t>
                  </w:r>
                </w:p>
              </w:tc>
              <w:tc>
                <w:tcPr>
                  <w:tcW w:w="735" w:type="dxa"/>
                  <w:vAlign w:val="center"/>
                </w:tcPr>
                <w:p>
                  <w:pPr>
                    <w:adjustRightInd w:val="0"/>
                    <w:snapToGrid w:val="0"/>
                    <w:jc w:val="center"/>
                    <w:rPr>
                      <w:color w:val="auto"/>
                      <w:szCs w:val="21"/>
                    </w:rPr>
                  </w:pPr>
                  <w:r>
                    <w:rPr>
                      <w:rFonts w:hint="eastAsia"/>
                      <w:color w:val="auto"/>
                      <w:szCs w:val="21"/>
                    </w:rPr>
                    <w:t>2.91</w:t>
                  </w:r>
                </w:p>
              </w:tc>
              <w:tc>
                <w:tcPr>
                  <w:tcW w:w="2309" w:type="dxa"/>
                  <w:vAlign w:val="center"/>
                </w:tcPr>
                <w:p>
                  <w:pPr>
                    <w:adjustRightInd w:val="0"/>
                    <w:snapToGrid w:val="0"/>
                    <w:jc w:val="center"/>
                    <w:rPr>
                      <w:color w:val="auto"/>
                      <w:szCs w:val="21"/>
                      <w:lang w:val="zh-CN"/>
                    </w:rPr>
                  </w:pPr>
                  <w:r>
                    <w:rPr>
                      <w:rFonts w:hint="eastAsia"/>
                      <w:color w:val="auto"/>
                      <w:szCs w:val="21"/>
                      <w:lang w:val="zh-CN"/>
                    </w:rPr>
                    <w:t>外购</w:t>
                  </w:r>
                </w:p>
              </w:tc>
              <w:tc>
                <w:tcPr>
                  <w:tcW w:w="2151" w:type="dxa"/>
                  <w:vAlign w:val="center"/>
                </w:tcPr>
                <w:p>
                  <w:pPr>
                    <w:adjustRightInd w:val="0"/>
                    <w:snapToGrid w:val="0"/>
                    <w:jc w:val="center"/>
                    <w:rPr>
                      <w:color w:val="auto"/>
                      <w:szCs w:val="21"/>
                      <w:lang w:val="zh-CN"/>
                    </w:rPr>
                  </w:pPr>
                  <w:r>
                    <w:rPr>
                      <w:rFonts w:hint="eastAsia"/>
                      <w:color w:val="auto"/>
                      <w:szCs w:val="21"/>
                    </w:rPr>
                    <w:t>乙二胺四甲叉膦酸水合物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58" w:type="dxa"/>
                  <w:vAlign w:val="center"/>
                </w:tcPr>
                <w:p>
                  <w:pPr>
                    <w:adjustRightInd w:val="0"/>
                    <w:snapToGrid w:val="0"/>
                    <w:jc w:val="center"/>
                    <w:rPr>
                      <w:color w:val="auto"/>
                      <w:szCs w:val="21"/>
                    </w:rPr>
                  </w:pPr>
                  <w:r>
                    <w:rPr>
                      <w:rFonts w:hint="eastAsia"/>
                      <w:color w:val="auto"/>
                      <w:szCs w:val="21"/>
                    </w:rPr>
                    <w:t>6</w:t>
                  </w:r>
                </w:p>
              </w:tc>
              <w:tc>
                <w:tcPr>
                  <w:tcW w:w="1519" w:type="dxa"/>
                  <w:vAlign w:val="center"/>
                </w:tcPr>
                <w:p>
                  <w:pPr>
                    <w:adjustRightInd w:val="0"/>
                    <w:snapToGrid w:val="0"/>
                    <w:jc w:val="center"/>
                    <w:rPr>
                      <w:color w:val="auto"/>
                      <w:szCs w:val="21"/>
                    </w:rPr>
                  </w:pPr>
                  <w:r>
                    <w:rPr>
                      <w:rFonts w:hint="eastAsia"/>
                      <w:color w:val="auto"/>
                      <w:szCs w:val="21"/>
                    </w:rPr>
                    <w:t>粗滤料</w:t>
                  </w:r>
                </w:p>
              </w:tc>
              <w:tc>
                <w:tcPr>
                  <w:tcW w:w="825" w:type="dxa"/>
                  <w:vAlign w:val="center"/>
                </w:tcPr>
                <w:p>
                  <w:pPr>
                    <w:adjustRightInd w:val="0"/>
                    <w:snapToGrid w:val="0"/>
                    <w:jc w:val="center"/>
                    <w:rPr>
                      <w:color w:val="auto"/>
                      <w:szCs w:val="21"/>
                    </w:rPr>
                  </w:pPr>
                  <w:r>
                    <w:rPr>
                      <w:rFonts w:hint="eastAsia"/>
                      <w:color w:val="auto"/>
                      <w:szCs w:val="21"/>
                    </w:rPr>
                    <w:t>2.5</w:t>
                  </w:r>
                </w:p>
              </w:tc>
              <w:tc>
                <w:tcPr>
                  <w:tcW w:w="735" w:type="dxa"/>
                  <w:vAlign w:val="center"/>
                </w:tcPr>
                <w:p>
                  <w:pPr>
                    <w:adjustRightInd w:val="0"/>
                    <w:snapToGrid w:val="0"/>
                    <w:jc w:val="center"/>
                    <w:rPr>
                      <w:color w:val="auto"/>
                      <w:szCs w:val="21"/>
                    </w:rPr>
                  </w:pPr>
                  <w:r>
                    <w:rPr>
                      <w:rFonts w:hint="eastAsia"/>
                      <w:color w:val="auto"/>
                      <w:szCs w:val="21"/>
                    </w:rPr>
                    <w:t>0.9</w:t>
                  </w:r>
                </w:p>
              </w:tc>
              <w:tc>
                <w:tcPr>
                  <w:tcW w:w="2309" w:type="dxa"/>
                  <w:vAlign w:val="center"/>
                </w:tcPr>
                <w:p>
                  <w:pPr>
                    <w:adjustRightInd w:val="0"/>
                    <w:snapToGrid w:val="0"/>
                    <w:jc w:val="center"/>
                    <w:rPr>
                      <w:color w:val="auto"/>
                      <w:szCs w:val="21"/>
                      <w:lang w:val="zh-CN"/>
                    </w:rPr>
                  </w:pPr>
                  <w:r>
                    <w:rPr>
                      <w:rFonts w:hint="eastAsia"/>
                      <w:color w:val="auto"/>
                      <w:szCs w:val="21"/>
                      <w:lang w:val="zh-CN"/>
                    </w:rPr>
                    <w:t>外购</w:t>
                  </w:r>
                </w:p>
              </w:tc>
              <w:tc>
                <w:tcPr>
                  <w:tcW w:w="2151" w:type="dxa"/>
                  <w:vAlign w:val="center"/>
                </w:tcPr>
                <w:p>
                  <w:pPr>
                    <w:adjustRightInd w:val="0"/>
                    <w:snapToGrid w:val="0"/>
                    <w:jc w:val="center"/>
                    <w:rPr>
                      <w:color w:val="auto"/>
                      <w:szCs w:val="21"/>
                    </w:rPr>
                  </w:pPr>
                  <w:r>
                    <w:rPr>
                      <w:rFonts w:hint="eastAsia"/>
                      <w:color w:val="auto"/>
                      <w:szCs w:val="21"/>
                    </w:rPr>
                    <w:t>核桃壳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58" w:type="dxa"/>
                  <w:vAlign w:val="center"/>
                </w:tcPr>
                <w:p>
                  <w:pPr>
                    <w:adjustRightInd w:val="0"/>
                    <w:snapToGrid w:val="0"/>
                    <w:jc w:val="center"/>
                    <w:rPr>
                      <w:color w:val="auto"/>
                      <w:szCs w:val="21"/>
                    </w:rPr>
                  </w:pPr>
                  <w:r>
                    <w:rPr>
                      <w:rFonts w:hint="eastAsia"/>
                      <w:color w:val="auto"/>
                      <w:szCs w:val="21"/>
                    </w:rPr>
                    <w:t>7</w:t>
                  </w:r>
                </w:p>
              </w:tc>
              <w:tc>
                <w:tcPr>
                  <w:tcW w:w="1519" w:type="dxa"/>
                  <w:vAlign w:val="center"/>
                </w:tcPr>
                <w:p>
                  <w:pPr>
                    <w:adjustRightInd w:val="0"/>
                    <w:snapToGrid w:val="0"/>
                    <w:jc w:val="center"/>
                    <w:rPr>
                      <w:color w:val="auto"/>
                      <w:szCs w:val="21"/>
                    </w:rPr>
                  </w:pPr>
                  <w:r>
                    <w:rPr>
                      <w:rFonts w:hint="eastAsia"/>
                      <w:color w:val="auto"/>
                      <w:szCs w:val="21"/>
                    </w:rPr>
                    <w:t>精细滤料</w:t>
                  </w:r>
                </w:p>
              </w:tc>
              <w:tc>
                <w:tcPr>
                  <w:tcW w:w="825" w:type="dxa"/>
                  <w:vAlign w:val="center"/>
                </w:tcPr>
                <w:p>
                  <w:pPr>
                    <w:adjustRightInd w:val="0"/>
                    <w:snapToGrid w:val="0"/>
                    <w:jc w:val="center"/>
                    <w:rPr>
                      <w:color w:val="auto"/>
                      <w:szCs w:val="21"/>
                    </w:rPr>
                  </w:pPr>
                  <w:r>
                    <w:rPr>
                      <w:rFonts w:hint="eastAsia"/>
                      <w:color w:val="auto"/>
                      <w:szCs w:val="21"/>
                    </w:rPr>
                    <w:t>17.1</w:t>
                  </w:r>
                </w:p>
              </w:tc>
              <w:tc>
                <w:tcPr>
                  <w:tcW w:w="735" w:type="dxa"/>
                  <w:vAlign w:val="center"/>
                </w:tcPr>
                <w:p>
                  <w:pPr>
                    <w:adjustRightInd w:val="0"/>
                    <w:snapToGrid w:val="0"/>
                    <w:jc w:val="center"/>
                    <w:rPr>
                      <w:color w:val="auto"/>
                      <w:szCs w:val="21"/>
                    </w:rPr>
                  </w:pPr>
                  <w:r>
                    <w:rPr>
                      <w:rFonts w:hint="eastAsia"/>
                      <w:color w:val="auto"/>
                      <w:szCs w:val="21"/>
                    </w:rPr>
                    <w:t>6.25</w:t>
                  </w:r>
                </w:p>
              </w:tc>
              <w:tc>
                <w:tcPr>
                  <w:tcW w:w="2309" w:type="dxa"/>
                  <w:vAlign w:val="center"/>
                </w:tcPr>
                <w:p>
                  <w:pPr>
                    <w:adjustRightInd w:val="0"/>
                    <w:snapToGrid w:val="0"/>
                    <w:jc w:val="center"/>
                    <w:rPr>
                      <w:color w:val="auto"/>
                      <w:szCs w:val="21"/>
                      <w:lang w:val="zh-CN"/>
                    </w:rPr>
                  </w:pPr>
                  <w:r>
                    <w:rPr>
                      <w:rFonts w:hint="eastAsia"/>
                      <w:color w:val="auto"/>
                      <w:szCs w:val="21"/>
                      <w:lang w:val="zh-CN"/>
                    </w:rPr>
                    <w:t>外购</w:t>
                  </w:r>
                </w:p>
              </w:tc>
              <w:tc>
                <w:tcPr>
                  <w:tcW w:w="2151" w:type="dxa"/>
                  <w:vAlign w:val="center"/>
                </w:tcPr>
                <w:p>
                  <w:pPr>
                    <w:adjustRightInd w:val="0"/>
                    <w:snapToGrid w:val="0"/>
                    <w:jc w:val="center"/>
                    <w:rPr>
                      <w:color w:val="auto"/>
                      <w:szCs w:val="21"/>
                    </w:rPr>
                  </w:pPr>
                  <w:r>
                    <w:rPr>
                      <w:rFonts w:hint="eastAsia"/>
                      <w:color w:val="auto"/>
                      <w:szCs w:val="21"/>
                    </w:rPr>
                    <w:t>复合环保材料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58" w:type="dxa"/>
                  <w:vAlign w:val="center"/>
                </w:tcPr>
                <w:p>
                  <w:pPr>
                    <w:adjustRightInd w:val="0"/>
                    <w:snapToGrid w:val="0"/>
                    <w:jc w:val="center"/>
                    <w:rPr>
                      <w:color w:val="auto"/>
                      <w:szCs w:val="21"/>
                    </w:rPr>
                  </w:pPr>
                  <w:r>
                    <w:rPr>
                      <w:rFonts w:hint="eastAsia"/>
                      <w:color w:val="auto"/>
                      <w:szCs w:val="21"/>
                    </w:rPr>
                    <w:t>8</w:t>
                  </w:r>
                </w:p>
              </w:tc>
              <w:tc>
                <w:tcPr>
                  <w:tcW w:w="1519" w:type="dxa"/>
                  <w:vAlign w:val="center"/>
                </w:tcPr>
                <w:p>
                  <w:pPr>
                    <w:adjustRightInd w:val="0"/>
                    <w:snapToGrid w:val="0"/>
                    <w:jc w:val="center"/>
                    <w:rPr>
                      <w:color w:val="auto"/>
                      <w:szCs w:val="21"/>
                    </w:rPr>
                  </w:pPr>
                  <w:r>
                    <w:rPr>
                      <w:rFonts w:hint="eastAsia"/>
                      <w:color w:val="auto"/>
                      <w:szCs w:val="21"/>
                    </w:rPr>
                    <w:t>高精度滤芯</w:t>
                  </w:r>
                </w:p>
              </w:tc>
              <w:tc>
                <w:tcPr>
                  <w:tcW w:w="825" w:type="dxa"/>
                  <w:vAlign w:val="center"/>
                </w:tcPr>
                <w:p>
                  <w:pPr>
                    <w:adjustRightInd w:val="0"/>
                    <w:snapToGrid w:val="0"/>
                    <w:jc w:val="center"/>
                    <w:rPr>
                      <w:color w:val="auto"/>
                      <w:szCs w:val="21"/>
                    </w:rPr>
                  </w:pPr>
                  <w:r>
                    <w:rPr>
                      <w:rFonts w:hint="eastAsia"/>
                      <w:color w:val="auto"/>
                      <w:szCs w:val="21"/>
                    </w:rPr>
                    <w:t>1.98</w:t>
                  </w:r>
                </w:p>
              </w:tc>
              <w:tc>
                <w:tcPr>
                  <w:tcW w:w="735" w:type="dxa"/>
                  <w:vAlign w:val="center"/>
                </w:tcPr>
                <w:p>
                  <w:pPr>
                    <w:adjustRightInd w:val="0"/>
                    <w:snapToGrid w:val="0"/>
                    <w:jc w:val="center"/>
                    <w:rPr>
                      <w:color w:val="auto"/>
                      <w:szCs w:val="21"/>
                    </w:rPr>
                  </w:pPr>
                  <w:r>
                    <w:rPr>
                      <w:rFonts w:hint="eastAsia"/>
                      <w:color w:val="auto"/>
                      <w:szCs w:val="21"/>
                    </w:rPr>
                    <w:t>0.72</w:t>
                  </w:r>
                </w:p>
              </w:tc>
              <w:tc>
                <w:tcPr>
                  <w:tcW w:w="2309" w:type="dxa"/>
                  <w:vAlign w:val="center"/>
                </w:tcPr>
                <w:p>
                  <w:pPr>
                    <w:adjustRightInd w:val="0"/>
                    <w:snapToGrid w:val="0"/>
                    <w:jc w:val="center"/>
                    <w:rPr>
                      <w:color w:val="auto"/>
                      <w:szCs w:val="21"/>
                      <w:lang w:val="zh-CN"/>
                    </w:rPr>
                  </w:pPr>
                  <w:r>
                    <w:rPr>
                      <w:rFonts w:hint="eastAsia"/>
                      <w:color w:val="auto"/>
                      <w:szCs w:val="21"/>
                      <w:lang w:val="zh-CN"/>
                    </w:rPr>
                    <w:t>外购</w:t>
                  </w:r>
                </w:p>
              </w:tc>
              <w:tc>
                <w:tcPr>
                  <w:tcW w:w="2151" w:type="dxa"/>
                  <w:vAlign w:val="center"/>
                </w:tcPr>
                <w:p>
                  <w:pPr>
                    <w:adjustRightInd w:val="0"/>
                    <w:snapToGrid w:val="0"/>
                    <w:jc w:val="center"/>
                    <w:rPr>
                      <w:color w:val="auto"/>
                      <w:szCs w:val="21"/>
                    </w:rPr>
                  </w:pPr>
                  <w:r>
                    <w:rPr>
                      <w:rFonts w:hint="eastAsia"/>
                      <w:color w:val="auto"/>
                      <w:szCs w:val="21"/>
                    </w:rPr>
                    <w:t>复合环保材料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58" w:type="dxa"/>
                  <w:vAlign w:val="center"/>
                </w:tcPr>
                <w:p>
                  <w:pPr>
                    <w:adjustRightInd w:val="0"/>
                    <w:snapToGrid w:val="0"/>
                    <w:jc w:val="center"/>
                    <w:rPr>
                      <w:color w:val="auto"/>
                      <w:szCs w:val="21"/>
                    </w:rPr>
                  </w:pPr>
                  <w:r>
                    <w:rPr>
                      <w:rFonts w:hint="eastAsia"/>
                      <w:color w:val="auto"/>
                      <w:szCs w:val="21"/>
                    </w:rPr>
                    <w:t>9</w:t>
                  </w:r>
                </w:p>
              </w:tc>
              <w:tc>
                <w:tcPr>
                  <w:tcW w:w="1519" w:type="dxa"/>
                  <w:vAlign w:val="center"/>
                </w:tcPr>
                <w:p>
                  <w:pPr>
                    <w:adjustRightInd w:val="0"/>
                    <w:snapToGrid w:val="0"/>
                    <w:jc w:val="center"/>
                    <w:rPr>
                      <w:color w:val="auto"/>
                      <w:szCs w:val="21"/>
                    </w:rPr>
                  </w:pPr>
                  <w:r>
                    <w:rPr>
                      <w:rFonts w:hint="eastAsia"/>
                      <w:color w:val="auto"/>
                      <w:szCs w:val="21"/>
                    </w:rPr>
                    <w:t>采出水</w:t>
                  </w:r>
                </w:p>
              </w:tc>
              <w:tc>
                <w:tcPr>
                  <w:tcW w:w="825" w:type="dxa"/>
                  <w:vAlign w:val="center"/>
                </w:tcPr>
                <w:p>
                  <w:pPr>
                    <w:adjustRightInd w:val="0"/>
                    <w:snapToGrid w:val="0"/>
                    <w:jc w:val="center"/>
                    <w:rPr>
                      <w:color w:val="auto"/>
                      <w:szCs w:val="21"/>
                    </w:rPr>
                  </w:pPr>
                  <w:r>
                    <w:rPr>
                      <w:rFonts w:hint="eastAsia"/>
                      <w:color w:val="auto"/>
                      <w:szCs w:val="21"/>
                    </w:rPr>
                    <w:t>9000000</w:t>
                  </w:r>
                </w:p>
              </w:tc>
              <w:tc>
                <w:tcPr>
                  <w:tcW w:w="735" w:type="dxa"/>
                  <w:vAlign w:val="center"/>
                </w:tcPr>
                <w:p>
                  <w:pPr>
                    <w:adjustRightInd w:val="0"/>
                    <w:snapToGrid w:val="0"/>
                    <w:jc w:val="center"/>
                    <w:rPr>
                      <w:color w:val="auto"/>
                      <w:szCs w:val="21"/>
                    </w:rPr>
                  </w:pPr>
                  <w:r>
                    <w:rPr>
                      <w:rFonts w:hint="eastAsia"/>
                      <w:color w:val="auto"/>
                      <w:szCs w:val="21"/>
                    </w:rPr>
                    <w:t>900</w:t>
                  </w:r>
                </w:p>
              </w:tc>
              <w:tc>
                <w:tcPr>
                  <w:tcW w:w="2309" w:type="dxa"/>
                  <w:vAlign w:val="center"/>
                </w:tcPr>
                <w:p>
                  <w:pPr>
                    <w:adjustRightInd w:val="0"/>
                    <w:snapToGrid w:val="0"/>
                    <w:jc w:val="center"/>
                    <w:rPr>
                      <w:color w:val="auto"/>
                      <w:szCs w:val="21"/>
                      <w:lang w:val="zh-CN"/>
                    </w:rPr>
                  </w:pPr>
                  <w:r>
                    <w:rPr>
                      <w:rFonts w:hint="eastAsia"/>
                      <w:color w:val="auto"/>
                      <w:szCs w:val="21"/>
                    </w:rPr>
                    <w:t>东仁沟采油队韩渠油区、五兴庄采油队五兴庄油区、</w:t>
                  </w:r>
                  <w:r>
                    <w:rPr>
                      <w:rFonts w:hint="eastAsia"/>
                      <w:color w:val="auto"/>
                      <w:szCs w:val="21"/>
                      <w:lang w:eastAsia="zh-CN"/>
                    </w:rPr>
                    <w:t>白马崾岘</w:t>
                  </w:r>
                  <w:r>
                    <w:rPr>
                      <w:rFonts w:hint="eastAsia"/>
                      <w:color w:val="auto"/>
                      <w:szCs w:val="21"/>
                    </w:rPr>
                    <w:t>采油队小涧湾油区</w:t>
                  </w:r>
                </w:p>
              </w:tc>
              <w:tc>
                <w:tcPr>
                  <w:tcW w:w="2151" w:type="dxa"/>
                  <w:vAlign w:val="center"/>
                </w:tcPr>
                <w:p>
                  <w:pPr>
                    <w:adjustRightInd w:val="0"/>
                    <w:snapToGrid w:val="0"/>
                    <w:jc w:val="center"/>
                    <w:rPr>
                      <w:color w:val="auto"/>
                      <w:szCs w:val="21"/>
                    </w:rPr>
                  </w:pPr>
                  <w:r>
                    <w:rPr>
                      <w:rFonts w:hint="eastAsia"/>
                      <w:color w:val="auto"/>
                      <w:szCs w:val="21"/>
                    </w:rPr>
                    <w:t>水、悬浮物、石油类</w:t>
                  </w:r>
                </w:p>
              </w:tc>
            </w:tr>
          </w:tbl>
          <w:p>
            <w:pPr>
              <w:pStyle w:val="91"/>
              <w:spacing w:line="360" w:lineRule="auto"/>
              <w:ind w:left="420" w:leftChars="200" w:firstLine="0" w:firstLineChars="0"/>
              <w:rPr>
                <w:rFonts w:hAnsi="Times New Roman"/>
                <w:b/>
                <w:bCs/>
                <w:color w:val="auto"/>
                <w:kern w:val="0"/>
                <w:sz w:val="24"/>
              </w:rPr>
            </w:pPr>
            <w:r>
              <w:rPr>
                <w:rFonts w:hint="eastAsia" w:hAnsi="Times New Roman"/>
                <w:b/>
                <w:bCs/>
                <w:color w:val="auto"/>
                <w:kern w:val="0"/>
                <w:sz w:val="24"/>
              </w:rPr>
              <w:t>5、采出水处理达标可行性分析</w:t>
            </w:r>
          </w:p>
          <w:p>
            <w:pPr>
              <w:spacing w:line="360" w:lineRule="auto"/>
              <w:ind w:firstLine="480"/>
              <w:rPr>
                <w:rFonts w:hint="default" w:eastAsia="宋体"/>
                <w:color w:val="auto"/>
                <w:sz w:val="24"/>
                <w:lang w:val="en-US" w:eastAsia="zh-CN"/>
              </w:rPr>
            </w:pPr>
            <w:r>
              <w:rPr>
                <w:rFonts w:hint="eastAsia"/>
                <w:color w:val="auto"/>
                <w:sz w:val="24"/>
                <w:lang w:val="en-US" w:eastAsia="zh-CN"/>
              </w:rPr>
              <w:t>⑴工艺设备适用性分析</w:t>
            </w:r>
          </w:p>
          <w:p>
            <w:pPr>
              <w:spacing w:line="360" w:lineRule="auto"/>
              <w:ind w:firstLine="480"/>
              <w:rPr>
                <w:rFonts w:hint="eastAsia"/>
                <w:color w:val="auto"/>
                <w:sz w:val="24"/>
              </w:rPr>
            </w:pPr>
            <w:r>
              <w:rPr>
                <w:rFonts w:hint="eastAsia"/>
                <w:color w:val="auto"/>
                <w:sz w:val="24"/>
              </w:rPr>
              <w:t>本次采用的一体化含油污水处理装置有效过滤面积大，采用的精细滤料为复合环保专利材料，处理设备密闭压力运行，完全与空气隔绝，适用于挥发性溶液的处理。该工艺为国内较成熟工艺，目前已应用于定边采油厂东仁沟油区的2个采出水处理站，运行稳定，水质达标率较高。</w:t>
            </w:r>
          </w:p>
          <w:p>
            <w:pPr>
              <w:spacing w:line="360" w:lineRule="auto"/>
              <w:ind w:firstLine="480"/>
              <w:rPr>
                <w:rFonts w:hint="eastAsia" w:eastAsia="宋体"/>
                <w:color w:val="auto"/>
                <w:sz w:val="24"/>
                <w:lang w:val="en-US" w:eastAsia="zh-CN"/>
              </w:rPr>
            </w:pPr>
            <w:r>
              <w:rPr>
                <w:rFonts w:hint="eastAsia"/>
                <w:color w:val="auto"/>
                <w:sz w:val="24"/>
              </w:rPr>
              <w:t>本项目设计进水水质见表2-</w:t>
            </w:r>
            <w:r>
              <w:rPr>
                <w:rFonts w:hint="eastAsia"/>
                <w:color w:val="auto"/>
                <w:sz w:val="24"/>
                <w:lang w:val="en-US" w:eastAsia="zh-CN"/>
              </w:rPr>
              <w:t>9</w:t>
            </w:r>
            <w:r>
              <w:rPr>
                <w:rFonts w:hint="eastAsia"/>
                <w:color w:val="auto"/>
                <w:sz w:val="24"/>
              </w:rPr>
              <w:t>，本项目设计出水水质见表2-</w:t>
            </w:r>
            <w:r>
              <w:rPr>
                <w:rFonts w:hint="eastAsia"/>
                <w:color w:val="auto"/>
                <w:sz w:val="24"/>
                <w:lang w:val="en-US" w:eastAsia="zh-CN"/>
              </w:rPr>
              <w:t>10</w:t>
            </w:r>
            <w:r>
              <w:rPr>
                <w:rFonts w:hint="eastAsia"/>
                <w:color w:val="auto"/>
                <w:sz w:val="24"/>
                <w:lang w:eastAsia="zh-CN"/>
              </w:rPr>
              <w:t>。</w:t>
            </w:r>
          </w:p>
          <w:p>
            <w:pPr>
              <w:pStyle w:val="33"/>
              <w:ind w:left="0" w:leftChars="0" w:firstLine="0"/>
              <w:jc w:val="center"/>
              <w:rPr>
                <w:rFonts w:ascii="黑体" w:hAnsi="黑体" w:eastAsia="黑体" w:cs="黑体"/>
                <w:color w:val="auto"/>
                <w:sz w:val="21"/>
              </w:rPr>
            </w:pPr>
            <w:r>
              <w:rPr>
                <w:rFonts w:hint="eastAsia" w:ascii="黑体" w:hAnsi="黑体" w:eastAsia="黑体" w:cs="黑体"/>
                <w:color w:val="auto"/>
                <w:sz w:val="21"/>
              </w:rPr>
              <w:t>表2-</w:t>
            </w:r>
            <w:r>
              <w:rPr>
                <w:rFonts w:hint="eastAsia" w:ascii="黑体" w:hAnsi="黑体" w:eastAsia="黑体" w:cs="黑体"/>
                <w:color w:val="auto"/>
                <w:sz w:val="21"/>
                <w:lang w:val="en-US" w:eastAsia="zh-CN"/>
              </w:rPr>
              <w:t>9</w:t>
            </w:r>
            <w:r>
              <w:rPr>
                <w:rFonts w:hint="eastAsia" w:ascii="黑体" w:hAnsi="黑体" w:eastAsia="黑体" w:cs="黑体"/>
                <w:color w:val="auto"/>
                <w:sz w:val="21"/>
              </w:rPr>
              <w:t xml:space="preserve">  设计进水水质指标</w:t>
            </w:r>
          </w:p>
          <w:tbl>
            <w:tblPr>
              <w:tblStyle w:val="34"/>
              <w:tblW w:w="8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8"/>
              <w:gridCol w:w="3180"/>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338" w:type="dxa"/>
                  <w:vAlign w:val="center"/>
                </w:tcPr>
                <w:p>
                  <w:pPr>
                    <w:adjustRightInd w:val="0"/>
                    <w:snapToGrid w:val="0"/>
                    <w:jc w:val="center"/>
                    <w:rPr>
                      <w:color w:val="auto"/>
                    </w:rPr>
                  </w:pPr>
                  <w:r>
                    <w:rPr>
                      <w:rFonts w:hint="eastAsia"/>
                      <w:color w:val="auto"/>
                    </w:rPr>
                    <w:t>污染物</w:t>
                  </w:r>
                </w:p>
              </w:tc>
              <w:tc>
                <w:tcPr>
                  <w:tcW w:w="3180" w:type="dxa"/>
                  <w:vAlign w:val="center"/>
                </w:tcPr>
                <w:p>
                  <w:pPr>
                    <w:adjustRightInd w:val="0"/>
                    <w:snapToGrid w:val="0"/>
                    <w:jc w:val="center"/>
                    <w:rPr>
                      <w:color w:val="auto"/>
                    </w:rPr>
                  </w:pPr>
                  <w:r>
                    <w:rPr>
                      <w:rFonts w:hint="eastAsia"/>
                      <w:color w:val="auto"/>
                      <w:szCs w:val="21"/>
                    </w:rPr>
                    <w:t>含油量（mg/L）</w:t>
                  </w:r>
                </w:p>
              </w:tc>
              <w:tc>
                <w:tcPr>
                  <w:tcW w:w="2622" w:type="dxa"/>
                  <w:vAlign w:val="center"/>
                </w:tcPr>
                <w:p>
                  <w:pPr>
                    <w:adjustRightInd w:val="0"/>
                    <w:snapToGrid w:val="0"/>
                    <w:jc w:val="center"/>
                    <w:rPr>
                      <w:color w:val="auto"/>
                    </w:rPr>
                  </w:pPr>
                  <w:r>
                    <w:rPr>
                      <w:rFonts w:hint="eastAsia"/>
                      <w:color w:val="auto"/>
                      <w:szCs w:val="21"/>
                    </w:rPr>
                    <w:t>悬浮固体含量（mg/L）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38" w:type="dxa"/>
                  <w:vAlign w:val="center"/>
                </w:tcPr>
                <w:p>
                  <w:pPr>
                    <w:adjustRightInd w:val="0"/>
                    <w:snapToGrid w:val="0"/>
                    <w:jc w:val="center"/>
                    <w:rPr>
                      <w:color w:val="auto"/>
                    </w:rPr>
                  </w:pPr>
                  <w:r>
                    <w:rPr>
                      <w:rFonts w:hint="eastAsia"/>
                      <w:color w:val="auto"/>
                    </w:rPr>
                    <w:t>指标</w:t>
                  </w:r>
                </w:p>
              </w:tc>
              <w:tc>
                <w:tcPr>
                  <w:tcW w:w="3180" w:type="dxa"/>
                  <w:vAlign w:val="center"/>
                </w:tcPr>
                <w:p>
                  <w:pPr>
                    <w:adjustRightInd w:val="0"/>
                    <w:snapToGrid w:val="0"/>
                    <w:jc w:val="center"/>
                    <w:rPr>
                      <w:color w:val="auto"/>
                    </w:rPr>
                  </w:pPr>
                  <w:r>
                    <w:rPr>
                      <w:rFonts w:hint="eastAsia"/>
                      <w:color w:val="auto"/>
                      <w:szCs w:val="21"/>
                    </w:rPr>
                    <w:t>≤600</w:t>
                  </w:r>
                </w:p>
              </w:tc>
              <w:tc>
                <w:tcPr>
                  <w:tcW w:w="2622" w:type="dxa"/>
                  <w:vAlign w:val="center"/>
                </w:tcPr>
                <w:p>
                  <w:pPr>
                    <w:adjustRightInd w:val="0"/>
                    <w:snapToGrid w:val="0"/>
                    <w:jc w:val="center"/>
                    <w:rPr>
                      <w:color w:val="auto"/>
                    </w:rPr>
                  </w:pPr>
                  <w:r>
                    <w:rPr>
                      <w:rFonts w:hint="eastAsia"/>
                      <w:color w:val="auto"/>
                      <w:szCs w:val="21"/>
                    </w:rPr>
                    <w:t>≤1500</w:t>
                  </w:r>
                </w:p>
              </w:tc>
            </w:tr>
          </w:tbl>
          <w:p>
            <w:pPr>
              <w:pStyle w:val="33"/>
              <w:ind w:left="0" w:leftChars="0" w:firstLine="0"/>
              <w:jc w:val="center"/>
              <w:rPr>
                <w:rFonts w:ascii="黑体" w:hAnsi="黑体" w:eastAsia="黑体" w:cs="黑体"/>
                <w:color w:val="auto"/>
                <w:sz w:val="21"/>
              </w:rPr>
            </w:pPr>
            <w:r>
              <w:rPr>
                <w:rFonts w:hint="eastAsia" w:ascii="黑体" w:hAnsi="黑体" w:eastAsia="黑体" w:cs="黑体"/>
                <w:color w:val="auto"/>
                <w:sz w:val="21"/>
              </w:rPr>
              <w:t>表2-</w:t>
            </w:r>
            <w:r>
              <w:rPr>
                <w:rFonts w:hint="eastAsia" w:ascii="黑体" w:hAnsi="黑体" w:eastAsia="黑体" w:cs="黑体"/>
                <w:color w:val="auto"/>
                <w:sz w:val="21"/>
                <w:lang w:val="en-US" w:eastAsia="zh-CN"/>
              </w:rPr>
              <w:t>10</w:t>
            </w:r>
            <w:r>
              <w:rPr>
                <w:rFonts w:hint="eastAsia" w:ascii="黑体" w:hAnsi="黑体" w:eastAsia="黑体" w:cs="黑体"/>
                <w:color w:val="auto"/>
                <w:sz w:val="21"/>
              </w:rPr>
              <w:t xml:space="preserve">  设计出水水质指标</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38"/>
              <w:gridCol w:w="1076"/>
              <w:gridCol w:w="1077"/>
              <w:gridCol w:w="1077"/>
              <w:gridCol w:w="1076"/>
              <w:gridCol w:w="1079"/>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jc w:val="center"/>
              </w:trPr>
              <w:tc>
                <w:tcPr>
                  <w:tcW w:w="1638" w:type="dxa"/>
                  <w:vAlign w:val="center"/>
                </w:tcPr>
                <w:p>
                  <w:pPr>
                    <w:adjustRightInd w:val="0"/>
                    <w:snapToGrid w:val="0"/>
                    <w:jc w:val="center"/>
                    <w:rPr>
                      <w:color w:val="auto"/>
                      <w:szCs w:val="21"/>
                    </w:rPr>
                  </w:pPr>
                  <w:r>
                    <w:rPr>
                      <w:rFonts w:hint="eastAsia"/>
                      <w:color w:val="auto"/>
                      <w:szCs w:val="21"/>
                    </w:rPr>
                    <w:t>储层空气渗透</w:t>
                  </w:r>
                </w:p>
                <w:p>
                  <w:pPr>
                    <w:adjustRightInd w:val="0"/>
                    <w:snapToGrid w:val="0"/>
                    <w:jc w:val="center"/>
                    <w:rPr>
                      <w:color w:val="auto"/>
                      <w:szCs w:val="21"/>
                    </w:rPr>
                  </w:pPr>
                  <w:r>
                    <w:rPr>
                      <w:rFonts w:hint="eastAsia"/>
                      <w:color w:val="auto"/>
                      <w:szCs w:val="21"/>
                    </w:rPr>
                    <w:t>率</w:t>
                  </w:r>
                  <w:r>
                    <w:rPr>
                      <w:color w:val="auto"/>
                      <w:szCs w:val="21"/>
                    </w:rPr>
                    <w:t>µm</w:t>
                  </w:r>
                  <w:r>
                    <w:rPr>
                      <w:color w:val="auto"/>
                      <w:szCs w:val="21"/>
                      <w:vertAlign w:val="superscript"/>
                    </w:rPr>
                    <w:t>2</w:t>
                  </w:r>
                </w:p>
              </w:tc>
              <w:tc>
                <w:tcPr>
                  <w:tcW w:w="1076" w:type="dxa"/>
                  <w:vAlign w:val="center"/>
                </w:tcPr>
                <w:p>
                  <w:pPr>
                    <w:adjustRightInd w:val="0"/>
                    <w:snapToGrid w:val="0"/>
                    <w:jc w:val="center"/>
                    <w:rPr>
                      <w:color w:val="auto"/>
                      <w:szCs w:val="21"/>
                    </w:rPr>
                  </w:pPr>
                  <w:r>
                    <w:rPr>
                      <w:color w:val="auto"/>
                      <w:szCs w:val="21"/>
                    </w:rPr>
                    <w:t>&lt;0.01</w:t>
                  </w:r>
                </w:p>
              </w:tc>
              <w:tc>
                <w:tcPr>
                  <w:tcW w:w="1077" w:type="dxa"/>
                  <w:vAlign w:val="center"/>
                </w:tcPr>
                <w:p>
                  <w:pPr>
                    <w:adjustRightInd w:val="0"/>
                    <w:snapToGrid w:val="0"/>
                    <w:jc w:val="center"/>
                    <w:rPr>
                      <w:color w:val="auto"/>
                      <w:szCs w:val="21"/>
                    </w:rPr>
                  </w:pPr>
                  <w:r>
                    <w:rPr>
                      <w:color w:val="auto"/>
                      <w:szCs w:val="21"/>
                    </w:rPr>
                    <w:t>[0.01</w:t>
                  </w:r>
                  <w:r>
                    <w:rPr>
                      <w:rFonts w:hint="eastAsia"/>
                      <w:color w:val="auto"/>
                      <w:szCs w:val="21"/>
                    </w:rPr>
                    <w:t>，</w:t>
                  </w:r>
                  <w:r>
                    <w:rPr>
                      <w:color w:val="auto"/>
                      <w:szCs w:val="21"/>
                    </w:rPr>
                    <w:t>0.05</w:t>
                  </w:r>
                  <w:r>
                    <w:rPr>
                      <w:rFonts w:hint="eastAsia"/>
                      <w:color w:val="auto"/>
                      <w:szCs w:val="21"/>
                    </w:rPr>
                    <w:t>）</w:t>
                  </w:r>
                </w:p>
              </w:tc>
              <w:tc>
                <w:tcPr>
                  <w:tcW w:w="1077" w:type="dxa"/>
                  <w:vAlign w:val="center"/>
                </w:tcPr>
                <w:p>
                  <w:pPr>
                    <w:adjustRightInd w:val="0"/>
                    <w:snapToGrid w:val="0"/>
                    <w:jc w:val="center"/>
                    <w:rPr>
                      <w:color w:val="auto"/>
                      <w:szCs w:val="21"/>
                    </w:rPr>
                  </w:pPr>
                  <w:r>
                    <w:rPr>
                      <w:color w:val="auto"/>
                      <w:szCs w:val="21"/>
                    </w:rPr>
                    <w:t>[0.05</w:t>
                  </w:r>
                  <w:r>
                    <w:rPr>
                      <w:rFonts w:hint="eastAsia"/>
                      <w:color w:val="auto"/>
                      <w:szCs w:val="21"/>
                    </w:rPr>
                    <w:t>，</w:t>
                  </w:r>
                  <w:r>
                    <w:rPr>
                      <w:color w:val="auto"/>
                      <w:szCs w:val="21"/>
                    </w:rPr>
                    <w:t>0.5</w:t>
                  </w:r>
                  <w:r>
                    <w:rPr>
                      <w:rFonts w:hint="eastAsia"/>
                      <w:color w:val="auto"/>
                      <w:szCs w:val="21"/>
                    </w:rPr>
                    <w:t>）</w:t>
                  </w:r>
                </w:p>
              </w:tc>
              <w:tc>
                <w:tcPr>
                  <w:tcW w:w="1076" w:type="dxa"/>
                  <w:vAlign w:val="center"/>
                </w:tcPr>
                <w:p>
                  <w:pPr>
                    <w:adjustRightInd w:val="0"/>
                    <w:snapToGrid w:val="0"/>
                    <w:jc w:val="center"/>
                    <w:rPr>
                      <w:color w:val="auto"/>
                      <w:szCs w:val="21"/>
                    </w:rPr>
                  </w:pPr>
                  <w:r>
                    <w:rPr>
                      <w:color w:val="auto"/>
                      <w:szCs w:val="21"/>
                    </w:rPr>
                    <w:t>[0.5</w:t>
                  </w:r>
                  <w:r>
                    <w:rPr>
                      <w:rFonts w:hint="eastAsia"/>
                      <w:color w:val="auto"/>
                      <w:szCs w:val="21"/>
                    </w:rPr>
                    <w:t>，</w:t>
                  </w:r>
                  <w:r>
                    <w:rPr>
                      <w:color w:val="auto"/>
                      <w:szCs w:val="21"/>
                    </w:rPr>
                    <w:t>2.0</w:t>
                  </w:r>
                  <w:r>
                    <w:rPr>
                      <w:rFonts w:hint="eastAsia"/>
                      <w:color w:val="auto"/>
                      <w:szCs w:val="21"/>
                    </w:rPr>
                    <w:t>）</w:t>
                  </w:r>
                </w:p>
              </w:tc>
              <w:tc>
                <w:tcPr>
                  <w:tcW w:w="1077" w:type="dxa"/>
                  <w:vAlign w:val="center"/>
                </w:tcPr>
                <w:p>
                  <w:pPr>
                    <w:adjustRightInd w:val="0"/>
                    <w:snapToGrid w:val="0"/>
                    <w:jc w:val="center"/>
                    <w:rPr>
                      <w:color w:val="auto"/>
                      <w:szCs w:val="21"/>
                    </w:rPr>
                  </w:pPr>
                  <w:r>
                    <w:rPr>
                      <w:color w:val="auto"/>
                      <w:szCs w:val="21"/>
                    </w:rPr>
                    <w:t>≥2.0</w:t>
                  </w:r>
                </w:p>
              </w:tc>
              <w:tc>
                <w:tcPr>
                  <w:tcW w:w="1079" w:type="dxa"/>
                  <w:vAlign w:val="center"/>
                </w:tcPr>
                <w:p>
                  <w:pPr>
                    <w:adjustRightInd w:val="0"/>
                    <w:snapToGrid w:val="0"/>
                    <w:jc w:val="center"/>
                    <w:rPr>
                      <w:b/>
                      <w:bCs/>
                      <w:color w:val="auto"/>
                      <w:szCs w:val="21"/>
                    </w:rPr>
                  </w:pPr>
                  <w:r>
                    <w:rPr>
                      <w:rFonts w:hint="eastAsia"/>
                      <w:b/>
                      <w:bCs/>
                      <w:color w:val="auto"/>
                      <w:szCs w:val="21"/>
                    </w:rPr>
                    <w:t>本项目出水水质指标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1638" w:type="dxa"/>
                  <w:vAlign w:val="center"/>
                </w:tcPr>
                <w:p>
                  <w:pPr>
                    <w:adjustRightInd w:val="0"/>
                    <w:snapToGrid w:val="0"/>
                    <w:jc w:val="center"/>
                    <w:rPr>
                      <w:color w:val="auto"/>
                      <w:szCs w:val="21"/>
                    </w:rPr>
                  </w:pPr>
                  <w:r>
                    <w:rPr>
                      <w:rFonts w:hint="eastAsia"/>
                      <w:color w:val="auto"/>
                      <w:szCs w:val="21"/>
                    </w:rPr>
                    <w:t>水质标准分级</w:t>
                  </w:r>
                </w:p>
              </w:tc>
              <w:tc>
                <w:tcPr>
                  <w:tcW w:w="1076" w:type="dxa"/>
                  <w:vAlign w:val="center"/>
                </w:tcPr>
                <w:p>
                  <w:pPr>
                    <w:adjustRightInd w:val="0"/>
                    <w:snapToGrid w:val="0"/>
                    <w:jc w:val="center"/>
                    <w:rPr>
                      <w:color w:val="auto"/>
                      <w:szCs w:val="21"/>
                    </w:rPr>
                  </w:pPr>
                  <w:r>
                    <w:rPr>
                      <w:color w:val="auto"/>
                      <w:szCs w:val="21"/>
                    </w:rPr>
                    <w:t>I</w:t>
                  </w:r>
                </w:p>
              </w:tc>
              <w:tc>
                <w:tcPr>
                  <w:tcW w:w="1077" w:type="dxa"/>
                  <w:vAlign w:val="center"/>
                </w:tcPr>
                <w:p>
                  <w:pPr>
                    <w:adjustRightInd w:val="0"/>
                    <w:snapToGrid w:val="0"/>
                    <w:jc w:val="center"/>
                    <w:rPr>
                      <w:color w:val="auto"/>
                      <w:szCs w:val="21"/>
                    </w:rPr>
                  </w:pPr>
                  <w:r>
                    <w:rPr>
                      <w:color w:val="auto"/>
                      <w:szCs w:val="21"/>
                    </w:rPr>
                    <w:t>II</w:t>
                  </w:r>
                </w:p>
              </w:tc>
              <w:tc>
                <w:tcPr>
                  <w:tcW w:w="1077" w:type="dxa"/>
                  <w:vAlign w:val="center"/>
                </w:tcPr>
                <w:p>
                  <w:pPr>
                    <w:adjustRightInd w:val="0"/>
                    <w:snapToGrid w:val="0"/>
                    <w:jc w:val="center"/>
                    <w:rPr>
                      <w:color w:val="auto"/>
                      <w:szCs w:val="21"/>
                    </w:rPr>
                  </w:pPr>
                  <w:r>
                    <w:rPr>
                      <w:color w:val="auto"/>
                      <w:szCs w:val="21"/>
                    </w:rPr>
                    <w:t>III</w:t>
                  </w:r>
                </w:p>
              </w:tc>
              <w:tc>
                <w:tcPr>
                  <w:tcW w:w="1076" w:type="dxa"/>
                  <w:vAlign w:val="center"/>
                </w:tcPr>
                <w:p>
                  <w:pPr>
                    <w:adjustRightInd w:val="0"/>
                    <w:snapToGrid w:val="0"/>
                    <w:jc w:val="center"/>
                    <w:rPr>
                      <w:color w:val="auto"/>
                      <w:szCs w:val="21"/>
                    </w:rPr>
                  </w:pPr>
                  <w:r>
                    <w:rPr>
                      <w:color w:val="auto"/>
                      <w:szCs w:val="21"/>
                    </w:rPr>
                    <w:t>IV</w:t>
                  </w:r>
                </w:p>
              </w:tc>
              <w:tc>
                <w:tcPr>
                  <w:tcW w:w="1077" w:type="dxa"/>
                  <w:vAlign w:val="center"/>
                </w:tcPr>
                <w:p>
                  <w:pPr>
                    <w:adjustRightInd w:val="0"/>
                    <w:snapToGrid w:val="0"/>
                    <w:jc w:val="center"/>
                    <w:rPr>
                      <w:color w:val="auto"/>
                      <w:szCs w:val="21"/>
                    </w:rPr>
                  </w:pPr>
                  <w:r>
                    <w:rPr>
                      <w:color w:val="auto"/>
                      <w:szCs w:val="21"/>
                    </w:rPr>
                    <w:t>V</w:t>
                  </w:r>
                </w:p>
              </w:tc>
              <w:tc>
                <w:tcPr>
                  <w:tcW w:w="1079" w:type="dxa"/>
                  <w:vAlign w:val="center"/>
                </w:tcPr>
                <w:p>
                  <w:pPr>
                    <w:adjustRightInd w:val="0"/>
                    <w:snapToGrid w:val="0"/>
                    <w:jc w:val="center"/>
                    <w:rPr>
                      <w:b/>
                      <w:bCs/>
                      <w:color w:val="auto"/>
                      <w:szCs w:val="21"/>
                    </w:rPr>
                  </w:pPr>
                  <w:r>
                    <w:rPr>
                      <w:b/>
                      <w:bCs/>
                      <w:color w:val="auto"/>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1638" w:type="dxa"/>
                  <w:vAlign w:val="center"/>
                </w:tcPr>
                <w:p>
                  <w:pPr>
                    <w:adjustRightInd w:val="0"/>
                    <w:snapToGrid w:val="0"/>
                    <w:jc w:val="center"/>
                    <w:rPr>
                      <w:color w:val="auto"/>
                      <w:szCs w:val="21"/>
                    </w:rPr>
                  </w:pPr>
                  <w:r>
                    <w:rPr>
                      <w:rFonts w:hint="eastAsia"/>
                      <w:color w:val="auto"/>
                      <w:szCs w:val="21"/>
                    </w:rPr>
                    <w:t>悬浮固体含量</w:t>
                  </w:r>
                </w:p>
                <w:p>
                  <w:pPr>
                    <w:adjustRightInd w:val="0"/>
                    <w:snapToGrid w:val="0"/>
                    <w:jc w:val="center"/>
                    <w:rPr>
                      <w:color w:val="auto"/>
                      <w:szCs w:val="21"/>
                    </w:rPr>
                  </w:pPr>
                  <w:r>
                    <w:rPr>
                      <w:color w:val="auto"/>
                      <w:szCs w:val="21"/>
                    </w:rPr>
                    <w:t>mg/L</w:t>
                  </w:r>
                </w:p>
              </w:tc>
              <w:tc>
                <w:tcPr>
                  <w:tcW w:w="1076" w:type="dxa"/>
                  <w:vAlign w:val="center"/>
                </w:tcPr>
                <w:p>
                  <w:pPr>
                    <w:adjustRightInd w:val="0"/>
                    <w:snapToGrid w:val="0"/>
                    <w:jc w:val="center"/>
                    <w:rPr>
                      <w:color w:val="auto"/>
                      <w:szCs w:val="21"/>
                    </w:rPr>
                  </w:pPr>
                  <w:r>
                    <w:rPr>
                      <w:color w:val="auto"/>
                      <w:szCs w:val="21"/>
                    </w:rPr>
                    <w:t>≤8.0</w:t>
                  </w:r>
                </w:p>
              </w:tc>
              <w:tc>
                <w:tcPr>
                  <w:tcW w:w="1077" w:type="dxa"/>
                  <w:vAlign w:val="center"/>
                </w:tcPr>
                <w:p>
                  <w:pPr>
                    <w:adjustRightInd w:val="0"/>
                    <w:snapToGrid w:val="0"/>
                    <w:jc w:val="center"/>
                    <w:rPr>
                      <w:color w:val="auto"/>
                      <w:szCs w:val="21"/>
                    </w:rPr>
                  </w:pPr>
                  <w:r>
                    <w:rPr>
                      <w:color w:val="auto"/>
                      <w:szCs w:val="21"/>
                    </w:rPr>
                    <w:t>≤15.0</w:t>
                  </w:r>
                </w:p>
              </w:tc>
              <w:tc>
                <w:tcPr>
                  <w:tcW w:w="1077" w:type="dxa"/>
                  <w:vAlign w:val="center"/>
                </w:tcPr>
                <w:p>
                  <w:pPr>
                    <w:adjustRightInd w:val="0"/>
                    <w:snapToGrid w:val="0"/>
                    <w:jc w:val="center"/>
                    <w:rPr>
                      <w:color w:val="auto"/>
                      <w:szCs w:val="21"/>
                    </w:rPr>
                  </w:pPr>
                  <w:r>
                    <w:rPr>
                      <w:color w:val="auto"/>
                      <w:szCs w:val="21"/>
                    </w:rPr>
                    <w:t>≤20.0</w:t>
                  </w:r>
                </w:p>
              </w:tc>
              <w:tc>
                <w:tcPr>
                  <w:tcW w:w="1076" w:type="dxa"/>
                  <w:vAlign w:val="center"/>
                </w:tcPr>
                <w:p>
                  <w:pPr>
                    <w:adjustRightInd w:val="0"/>
                    <w:snapToGrid w:val="0"/>
                    <w:jc w:val="center"/>
                    <w:rPr>
                      <w:color w:val="auto"/>
                      <w:szCs w:val="21"/>
                    </w:rPr>
                  </w:pPr>
                  <w:r>
                    <w:rPr>
                      <w:color w:val="auto"/>
                      <w:szCs w:val="21"/>
                    </w:rPr>
                    <w:t>≤25.0</w:t>
                  </w:r>
                </w:p>
              </w:tc>
              <w:tc>
                <w:tcPr>
                  <w:tcW w:w="1077" w:type="dxa"/>
                  <w:vAlign w:val="center"/>
                </w:tcPr>
                <w:p>
                  <w:pPr>
                    <w:adjustRightInd w:val="0"/>
                    <w:snapToGrid w:val="0"/>
                    <w:jc w:val="center"/>
                    <w:rPr>
                      <w:color w:val="auto"/>
                      <w:szCs w:val="21"/>
                    </w:rPr>
                  </w:pPr>
                  <w:r>
                    <w:rPr>
                      <w:color w:val="auto"/>
                      <w:szCs w:val="21"/>
                    </w:rPr>
                    <w:t>≤35.0</w:t>
                  </w:r>
                </w:p>
              </w:tc>
              <w:tc>
                <w:tcPr>
                  <w:tcW w:w="1079" w:type="dxa"/>
                  <w:vAlign w:val="center"/>
                </w:tcPr>
                <w:p>
                  <w:pPr>
                    <w:adjustRightInd w:val="0"/>
                    <w:snapToGrid w:val="0"/>
                    <w:jc w:val="center"/>
                    <w:rPr>
                      <w:b/>
                      <w:bCs/>
                      <w:color w:val="auto"/>
                      <w:szCs w:val="21"/>
                    </w:rPr>
                  </w:pPr>
                  <w:r>
                    <w:rPr>
                      <w:b/>
                      <w:bCs/>
                      <w:color w:val="auto"/>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1638" w:type="dxa"/>
                  <w:vAlign w:val="center"/>
                </w:tcPr>
                <w:p>
                  <w:pPr>
                    <w:adjustRightInd w:val="0"/>
                    <w:snapToGrid w:val="0"/>
                    <w:jc w:val="center"/>
                    <w:rPr>
                      <w:color w:val="auto"/>
                      <w:szCs w:val="21"/>
                    </w:rPr>
                  </w:pPr>
                  <w:r>
                    <w:rPr>
                      <w:rFonts w:hint="eastAsia"/>
                      <w:color w:val="auto"/>
                      <w:szCs w:val="21"/>
                    </w:rPr>
                    <w:t>悬浮物颗粒直</w:t>
                  </w:r>
                </w:p>
                <w:p>
                  <w:pPr>
                    <w:adjustRightInd w:val="0"/>
                    <w:snapToGrid w:val="0"/>
                    <w:jc w:val="center"/>
                    <w:rPr>
                      <w:color w:val="auto"/>
                      <w:szCs w:val="21"/>
                    </w:rPr>
                  </w:pPr>
                  <w:r>
                    <w:rPr>
                      <w:rFonts w:hint="eastAsia"/>
                      <w:color w:val="auto"/>
                      <w:szCs w:val="21"/>
                    </w:rPr>
                    <w:t>径中值</w:t>
                  </w:r>
                  <w:r>
                    <w:rPr>
                      <w:color w:val="auto"/>
                      <w:szCs w:val="21"/>
                    </w:rPr>
                    <w:t>µm</w:t>
                  </w:r>
                </w:p>
              </w:tc>
              <w:tc>
                <w:tcPr>
                  <w:tcW w:w="1076" w:type="dxa"/>
                  <w:vAlign w:val="center"/>
                </w:tcPr>
                <w:p>
                  <w:pPr>
                    <w:adjustRightInd w:val="0"/>
                    <w:snapToGrid w:val="0"/>
                    <w:jc w:val="center"/>
                    <w:rPr>
                      <w:color w:val="auto"/>
                      <w:szCs w:val="21"/>
                    </w:rPr>
                  </w:pPr>
                  <w:r>
                    <w:rPr>
                      <w:color w:val="auto"/>
                      <w:szCs w:val="21"/>
                    </w:rPr>
                    <w:t>≤3.0</w:t>
                  </w:r>
                </w:p>
              </w:tc>
              <w:tc>
                <w:tcPr>
                  <w:tcW w:w="1077" w:type="dxa"/>
                  <w:vAlign w:val="center"/>
                </w:tcPr>
                <w:p>
                  <w:pPr>
                    <w:adjustRightInd w:val="0"/>
                    <w:snapToGrid w:val="0"/>
                    <w:jc w:val="center"/>
                    <w:rPr>
                      <w:color w:val="auto"/>
                      <w:szCs w:val="21"/>
                    </w:rPr>
                  </w:pPr>
                  <w:r>
                    <w:rPr>
                      <w:color w:val="auto"/>
                      <w:szCs w:val="21"/>
                    </w:rPr>
                    <w:t>≤5.0</w:t>
                  </w:r>
                </w:p>
              </w:tc>
              <w:tc>
                <w:tcPr>
                  <w:tcW w:w="1077" w:type="dxa"/>
                  <w:vAlign w:val="center"/>
                </w:tcPr>
                <w:p>
                  <w:pPr>
                    <w:adjustRightInd w:val="0"/>
                    <w:snapToGrid w:val="0"/>
                    <w:jc w:val="center"/>
                    <w:rPr>
                      <w:color w:val="auto"/>
                      <w:szCs w:val="21"/>
                    </w:rPr>
                  </w:pPr>
                  <w:r>
                    <w:rPr>
                      <w:color w:val="auto"/>
                      <w:szCs w:val="21"/>
                    </w:rPr>
                    <w:t>≤5.0</w:t>
                  </w:r>
                </w:p>
              </w:tc>
              <w:tc>
                <w:tcPr>
                  <w:tcW w:w="1076" w:type="dxa"/>
                  <w:vAlign w:val="center"/>
                </w:tcPr>
                <w:p>
                  <w:pPr>
                    <w:adjustRightInd w:val="0"/>
                    <w:snapToGrid w:val="0"/>
                    <w:jc w:val="center"/>
                    <w:rPr>
                      <w:color w:val="auto"/>
                      <w:szCs w:val="21"/>
                    </w:rPr>
                  </w:pPr>
                  <w:r>
                    <w:rPr>
                      <w:color w:val="auto"/>
                      <w:szCs w:val="21"/>
                    </w:rPr>
                    <w:t>≤5.0</w:t>
                  </w:r>
                </w:p>
              </w:tc>
              <w:tc>
                <w:tcPr>
                  <w:tcW w:w="1077" w:type="dxa"/>
                  <w:vAlign w:val="center"/>
                </w:tcPr>
                <w:p>
                  <w:pPr>
                    <w:adjustRightInd w:val="0"/>
                    <w:snapToGrid w:val="0"/>
                    <w:jc w:val="center"/>
                    <w:rPr>
                      <w:color w:val="auto"/>
                      <w:szCs w:val="21"/>
                    </w:rPr>
                  </w:pPr>
                  <w:r>
                    <w:rPr>
                      <w:color w:val="auto"/>
                      <w:szCs w:val="21"/>
                    </w:rPr>
                    <w:t>≤5.5</w:t>
                  </w:r>
                </w:p>
              </w:tc>
              <w:tc>
                <w:tcPr>
                  <w:tcW w:w="1079" w:type="dxa"/>
                  <w:vAlign w:val="center"/>
                </w:tcPr>
                <w:p>
                  <w:pPr>
                    <w:adjustRightInd w:val="0"/>
                    <w:snapToGrid w:val="0"/>
                    <w:jc w:val="center"/>
                    <w:rPr>
                      <w:b/>
                      <w:bCs/>
                      <w:color w:val="auto"/>
                      <w:szCs w:val="21"/>
                    </w:rPr>
                  </w:pPr>
                  <w:r>
                    <w:rPr>
                      <w:b/>
                      <w:bCs/>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1638" w:type="dxa"/>
                  <w:vAlign w:val="center"/>
                </w:tcPr>
                <w:p>
                  <w:pPr>
                    <w:adjustRightInd w:val="0"/>
                    <w:snapToGrid w:val="0"/>
                    <w:jc w:val="center"/>
                    <w:rPr>
                      <w:color w:val="auto"/>
                      <w:szCs w:val="21"/>
                    </w:rPr>
                  </w:pPr>
                  <w:r>
                    <w:rPr>
                      <w:rFonts w:hint="eastAsia"/>
                      <w:color w:val="auto"/>
                      <w:szCs w:val="21"/>
                    </w:rPr>
                    <w:t xml:space="preserve">含油量 </w:t>
                  </w:r>
                  <w:r>
                    <w:rPr>
                      <w:color w:val="auto"/>
                      <w:szCs w:val="21"/>
                    </w:rPr>
                    <w:t>mg/L</w:t>
                  </w:r>
                </w:p>
              </w:tc>
              <w:tc>
                <w:tcPr>
                  <w:tcW w:w="1076" w:type="dxa"/>
                  <w:vAlign w:val="center"/>
                </w:tcPr>
                <w:p>
                  <w:pPr>
                    <w:adjustRightInd w:val="0"/>
                    <w:snapToGrid w:val="0"/>
                    <w:jc w:val="center"/>
                    <w:rPr>
                      <w:color w:val="auto"/>
                      <w:szCs w:val="21"/>
                    </w:rPr>
                  </w:pPr>
                  <w:r>
                    <w:rPr>
                      <w:color w:val="auto"/>
                      <w:szCs w:val="21"/>
                    </w:rPr>
                    <w:t>≤5.0</w:t>
                  </w:r>
                </w:p>
              </w:tc>
              <w:tc>
                <w:tcPr>
                  <w:tcW w:w="1077" w:type="dxa"/>
                  <w:vAlign w:val="center"/>
                </w:tcPr>
                <w:p>
                  <w:pPr>
                    <w:adjustRightInd w:val="0"/>
                    <w:snapToGrid w:val="0"/>
                    <w:jc w:val="center"/>
                    <w:rPr>
                      <w:color w:val="auto"/>
                      <w:szCs w:val="21"/>
                    </w:rPr>
                  </w:pPr>
                  <w:r>
                    <w:rPr>
                      <w:color w:val="auto"/>
                      <w:szCs w:val="21"/>
                    </w:rPr>
                    <w:t>≤10.0</w:t>
                  </w:r>
                </w:p>
              </w:tc>
              <w:tc>
                <w:tcPr>
                  <w:tcW w:w="1077" w:type="dxa"/>
                  <w:vAlign w:val="center"/>
                </w:tcPr>
                <w:p>
                  <w:pPr>
                    <w:adjustRightInd w:val="0"/>
                    <w:snapToGrid w:val="0"/>
                    <w:jc w:val="center"/>
                    <w:rPr>
                      <w:color w:val="auto"/>
                      <w:szCs w:val="21"/>
                    </w:rPr>
                  </w:pPr>
                  <w:r>
                    <w:rPr>
                      <w:color w:val="auto"/>
                      <w:szCs w:val="21"/>
                    </w:rPr>
                    <w:t>≤15.0</w:t>
                  </w:r>
                </w:p>
              </w:tc>
              <w:tc>
                <w:tcPr>
                  <w:tcW w:w="1076" w:type="dxa"/>
                  <w:vAlign w:val="center"/>
                </w:tcPr>
                <w:p>
                  <w:pPr>
                    <w:adjustRightInd w:val="0"/>
                    <w:snapToGrid w:val="0"/>
                    <w:jc w:val="center"/>
                    <w:rPr>
                      <w:color w:val="auto"/>
                      <w:szCs w:val="21"/>
                    </w:rPr>
                  </w:pPr>
                  <w:r>
                    <w:rPr>
                      <w:color w:val="auto"/>
                      <w:szCs w:val="21"/>
                    </w:rPr>
                    <w:t>≤30.0</w:t>
                  </w:r>
                </w:p>
              </w:tc>
              <w:tc>
                <w:tcPr>
                  <w:tcW w:w="1077" w:type="dxa"/>
                  <w:vAlign w:val="center"/>
                </w:tcPr>
                <w:p>
                  <w:pPr>
                    <w:adjustRightInd w:val="0"/>
                    <w:snapToGrid w:val="0"/>
                    <w:jc w:val="center"/>
                    <w:rPr>
                      <w:color w:val="auto"/>
                      <w:szCs w:val="21"/>
                    </w:rPr>
                  </w:pPr>
                  <w:r>
                    <w:rPr>
                      <w:color w:val="auto"/>
                      <w:szCs w:val="21"/>
                    </w:rPr>
                    <w:t>≤100.0</w:t>
                  </w:r>
                </w:p>
              </w:tc>
              <w:tc>
                <w:tcPr>
                  <w:tcW w:w="1079" w:type="dxa"/>
                  <w:vAlign w:val="center"/>
                </w:tcPr>
                <w:p>
                  <w:pPr>
                    <w:adjustRightInd w:val="0"/>
                    <w:snapToGrid w:val="0"/>
                    <w:jc w:val="center"/>
                    <w:rPr>
                      <w:b/>
                      <w:bCs/>
                      <w:color w:val="auto"/>
                      <w:szCs w:val="21"/>
                    </w:rPr>
                  </w:pPr>
                  <w:r>
                    <w:rPr>
                      <w:b/>
                      <w:bCs/>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1638" w:type="dxa"/>
                  <w:vAlign w:val="center"/>
                </w:tcPr>
                <w:p>
                  <w:pPr>
                    <w:adjustRightInd w:val="0"/>
                    <w:snapToGrid w:val="0"/>
                    <w:jc w:val="center"/>
                    <w:rPr>
                      <w:color w:val="auto"/>
                      <w:szCs w:val="21"/>
                    </w:rPr>
                  </w:pPr>
                  <w:r>
                    <w:rPr>
                      <w:rFonts w:hint="eastAsia"/>
                      <w:color w:val="auto"/>
                      <w:szCs w:val="21"/>
                    </w:rPr>
                    <w:t>平均腐蚀率</w:t>
                  </w:r>
                </w:p>
                <w:p>
                  <w:pPr>
                    <w:adjustRightInd w:val="0"/>
                    <w:snapToGrid w:val="0"/>
                    <w:jc w:val="center"/>
                    <w:rPr>
                      <w:color w:val="auto"/>
                      <w:szCs w:val="21"/>
                    </w:rPr>
                  </w:pPr>
                  <w:r>
                    <w:rPr>
                      <w:color w:val="auto"/>
                      <w:szCs w:val="21"/>
                    </w:rPr>
                    <w:t>mm/a</w:t>
                  </w:r>
                </w:p>
              </w:tc>
              <w:tc>
                <w:tcPr>
                  <w:tcW w:w="5385" w:type="dxa"/>
                  <w:gridSpan w:val="5"/>
                  <w:vAlign w:val="center"/>
                </w:tcPr>
                <w:p>
                  <w:pPr>
                    <w:adjustRightInd w:val="0"/>
                    <w:snapToGrid w:val="0"/>
                    <w:jc w:val="center"/>
                    <w:rPr>
                      <w:color w:val="auto"/>
                      <w:szCs w:val="21"/>
                    </w:rPr>
                  </w:pPr>
                  <w:r>
                    <w:rPr>
                      <w:color w:val="auto"/>
                      <w:szCs w:val="21"/>
                    </w:rPr>
                    <w:t>≤0.076</w:t>
                  </w:r>
                </w:p>
              </w:tc>
              <w:tc>
                <w:tcPr>
                  <w:tcW w:w="1077" w:type="dxa"/>
                  <w:vAlign w:val="center"/>
                </w:tcPr>
                <w:p>
                  <w:pPr>
                    <w:adjustRightInd w:val="0"/>
                    <w:snapToGrid w:val="0"/>
                    <w:jc w:val="center"/>
                    <w:rPr>
                      <w:b/>
                      <w:bCs/>
                      <w:color w:val="auto"/>
                      <w:szCs w:val="21"/>
                    </w:rPr>
                  </w:pPr>
                  <w:r>
                    <w:rPr>
                      <w:b/>
                      <w:bCs/>
                      <w:color w:val="auto"/>
                      <w:szCs w:val="21"/>
                    </w:rPr>
                    <w:t>≤0.076</w:t>
                  </w:r>
                </w:p>
              </w:tc>
            </w:tr>
          </w:tbl>
          <w:p>
            <w:pPr>
              <w:spacing w:line="360" w:lineRule="auto"/>
              <w:ind w:firstLine="480" w:firstLineChars="200"/>
              <w:rPr>
                <w:rFonts w:hint="default" w:eastAsia="宋体"/>
                <w:color w:val="auto"/>
                <w:sz w:val="24"/>
                <w:lang w:val="en-US" w:eastAsia="zh-CN"/>
              </w:rPr>
            </w:pPr>
            <w:r>
              <w:rPr>
                <w:rFonts w:hint="eastAsia" w:hAnsi="Times New Roman"/>
                <w:color w:val="auto"/>
                <w:sz w:val="24"/>
              </w:rPr>
              <w:t>⑵</w:t>
            </w:r>
            <w:r>
              <w:rPr>
                <w:rFonts w:hint="eastAsia"/>
                <w:color w:val="auto"/>
                <w:sz w:val="24"/>
                <w:lang w:val="en-US" w:eastAsia="zh-CN"/>
              </w:rPr>
              <w:t>类比监测分析</w:t>
            </w:r>
          </w:p>
          <w:p>
            <w:pPr>
              <w:spacing w:line="360" w:lineRule="auto"/>
              <w:ind w:firstLine="480"/>
              <w:rPr>
                <w:rFonts w:hint="default"/>
                <w:color w:val="auto"/>
                <w:sz w:val="24"/>
                <w:lang w:val="en-US" w:eastAsia="zh-CN"/>
              </w:rPr>
            </w:pPr>
            <w:r>
              <w:rPr>
                <w:rFonts w:hint="eastAsia"/>
                <w:color w:val="auto"/>
                <w:sz w:val="24"/>
                <w:lang w:val="en-US" w:eastAsia="zh-CN"/>
              </w:rPr>
              <w:t>①类比油区进水水质情况</w:t>
            </w:r>
          </w:p>
          <w:p>
            <w:pPr>
              <w:spacing w:line="360" w:lineRule="auto"/>
              <w:ind w:firstLine="480"/>
              <w:rPr>
                <w:rFonts w:hint="eastAsia"/>
                <w:color w:val="auto"/>
                <w:sz w:val="24"/>
                <w:lang w:eastAsia="zh-CN"/>
              </w:rPr>
            </w:pPr>
            <w:r>
              <w:rPr>
                <w:rFonts w:hint="eastAsia"/>
                <w:color w:val="auto"/>
                <w:sz w:val="24"/>
              </w:rPr>
              <w:t>本项目</w:t>
            </w:r>
            <w:r>
              <w:rPr>
                <w:rFonts w:hint="eastAsia"/>
                <w:color w:val="auto"/>
                <w:sz w:val="24"/>
                <w:lang w:val="en-US" w:eastAsia="zh-CN"/>
              </w:rPr>
              <w:t>部分进水</w:t>
            </w:r>
            <w:r>
              <w:rPr>
                <w:rFonts w:hint="eastAsia"/>
                <w:color w:val="auto"/>
                <w:sz w:val="24"/>
              </w:rPr>
              <w:t>来源于东仁沟油区，</w:t>
            </w:r>
            <w:r>
              <w:rPr>
                <w:rFonts w:hint="eastAsia"/>
                <w:color w:val="auto"/>
                <w:sz w:val="24"/>
                <w:lang w:val="en-US" w:eastAsia="zh-CN"/>
              </w:rPr>
              <w:t>本次参考的原水水质监测报告中来水为</w:t>
            </w:r>
            <w:r>
              <w:rPr>
                <w:rFonts w:hint="eastAsia"/>
                <w:color w:val="auto"/>
                <w:sz w:val="24"/>
              </w:rPr>
              <w:t>东仁沟油区</w:t>
            </w:r>
            <w:r>
              <w:rPr>
                <w:rFonts w:hint="eastAsia"/>
                <w:color w:val="auto"/>
                <w:sz w:val="24"/>
                <w:lang w:eastAsia="zh-CN"/>
              </w:rPr>
              <w:t>的</w:t>
            </w:r>
            <w:r>
              <w:rPr>
                <w:rFonts w:hint="eastAsia"/>
                <w:color w:val="auto"/>
                <w:sz w:val="24"/>
                <w:lang w:val="en-US" w:eastAsia="zh-CN"/>
              </w:rPr>
              <w:t>定1716注水站采出水处理设施入口</w:t>
            </w:r>
            <w:r>
              <w:rPr>
                <w:rFonts w:hint="eastAsia"/>
                <w:color w:val="auto"/>
                <w:sz w:val="24"/>
              </w:rPr>
              <w:t>，</w:t>
            </w:r>
            <w:r>
              <w:rPr>
                <w:rFonts w:hint="eastAsia"/>
                <w:color w:val="auto"/>
                <w:sz w:val="24"/>
                <w:lang w:val="en-US" w:eastAsia="zh-CN"/>
              </w:rPr>
              <w:t>该站来水也为</w:t>
            </w:r>
            <w:r>
              <w:rPr>
                <w:rFonts w:hint="eastAsia"/>
                <w:color w:val="auto"/>
                <w:sz w:val="24"/>
              </w:rPr>
              <w:t>东仁沟油区</w:t>
            </w:r>
            <w:r>
              <w:rPr>
                <w:rFonts w:hint="eastAsia"/>
                <w:color w:val="auto"/>
                <w:sz w:val="24"/>
                <w:lang w:eastAsia="zh-CN"/>
              </w:rPr>
              <w:t>，</w:t>
            </w:r>
            <w:r>
              <w:rPr>
                <w:rFonts w:hint="eastAsia"/>
                <w:color w:val="auto"/>
                <w:sz w:val="24"/>
              </w:rPr>
              <w:t>来水水质较接近</w:t>
            </w:r>
            <w:r>
              <w:rPr>
                <w:rFonts w:hint="eastAsia"/>
                <w:color w:val="auto"/>
                <w:sz w:val="24"/>
                <w:lang w:eastAsia="zh-CN"/>
              </w:rPr>
              <w:t>。</w:t>
            </w:r>
          </w:p>
          <w:p>
            <w:pPr>
              <w:spacing w:line="360" w:lineRule="auto"/>
              <w:ind w:firstLine="480"/>
              <w:rPr>
                <w:rFonts w:hint="default"/>
                <w:color w:val="auto"/>
                <w:sz w:val="24"/>
                <w:lang w:val="en-US" w:eastAsia="zh-CN"/>
              </w:rPr>
            </w:pPr>
            <w:r>
              <w:rPr>
                <w:rFonts w:hint="eastAsia"/>
                <w:color w:val="auto"/>
                <w:sz w:val="24"/>
                <w:lang w:val="en-US" w:eastAsia="zh-CN"/>
              </w:rPr>
              <w:t>②类比处理站出水水质情况</w:t>
            </w:r>
          </w:p>
          <w:p>
            <w:pPr>
              <w:spacing w:line="360" w:lineRule="auto"/>
              <w:ind w:firstLine="480"/>
              <w:rPr>
                <w:rFonts w:hint="eastAsia"/>
                <w:color w:val="auto"/>
                <w:sz w:val="24"/>
                <w:lang w:val="en-US" w:eastAsia="zh-CN"/>
              </w:rPr>
            </w:pPr>
            <w:r>
              <w:rPr>
                <w:rFonts w:hint="eastAsia"/>
                <w:color w:val="auto"/>
                <w:sz w:val="24"/>
                <w:lang w:val="en-US" w:eastAsia="zh-CN"/>
              </w:rPr>
              <w:t>本项目参考的出水水质监测报告中出水为东仁沟采油队庙沟2642站处理设施出口，定2642污水处理站建成验收后运行较稳定。本项目和2642站进水均为</w:t>
            </w:r>
            <w:r>
              <w:rPr>
                <w:rFonts w:hint="eastAsia"/>
                <w:color w:val="auto"/>
                <w:sz w:val="24"/>
              </w:rPr>
              <w:t>东仁沟油区</w:t>
            </w:r>
            <w:r>
              <w:rPr>
                <w:rFonts w:hint="eastAsia"/>
                <w:color w:val="auto"/>
                <w:sz w:val="24"/>
                <w:lang w:val="en-US" w:eastAsia="zh-CN"/>
              </w:rPr>
              <w:t>采出水</w:t>
            </w:r>
            <w:r>
              <w:rPr>
                <w:rFonts w:hint="eastAsia"/>
                <w:color w:val="auto"/>
                <w:sz w:val="24"/>
                <w:lang w:eastAsia="zh-CN"/>
              </w:rPr>
              <w:t>，</w:t>
            </w:r>
            <w:r>
              <w:rPr>
                <w:rFonts w:hint="eastAsia"/>
                <w:color w:val="auto"/>
                <w:sz w:val="24"/>
                <w:lang w:val="en-US" w:eastAsia="zh-CN"/>
              </w:rPr>
              <w:t>工艺完全一致，故出水水质较接近，可类别性较好。</w:t>
            </w:r>
          </w:p>
          <w:p>
            <w:pPr>
              <w:spacing w:line="360" w:lineRule="auto"/>
              <w:ind w:firstLine="480"/>
              <w:rPr>
                <w:rFonts w:hint="eastAsia" w:eastAsia="宋体"/>
                <w:color w:val="auto"/>
                <w:sz w:val="24"/>
                <w:lang w:eastAsia="zh-CN"/>
              </w:rPr>
            </w:pPr>
            <w:r>
              <w:rPr>
                <w:rFonts w:hint="eastAsia"/>
                <w:color w:val="auto"/>
                <w:sz w:val="24"/>
              </w:rPr>
              <w:t>根据第三方检测公司（西安康派斯质量检测有限公司）提供的东仁沟采油队庙沟定2642污水处理站11月9日的水质化验数据可知，</w:t>
            </w:r>
            <w:r>
              <w:rPr>
                <w:rFonts w:hint="eastAsia"/>
                <w:color w:val="auto"/>
                <w:sz w:val="24"/>
              </w:rPr>
              <w:t>采出水经</w:t>
            </w:r>
            <w:r>
              <w:rPr>
                <w:rFonts w:hint="eastAsia"/>
                <w:color w:val="auto"/>
                <w:sz w:val="24"/>
              </w:rPr>
              <w:t>定2642污水处理站</w:t>
            </w:r>
            <w:r>
              <w:rPr>
                <w:rFonts w:hint="eastAsia"/>
                <w:color w:val="auto"/>
                <w:sz w:val="24"/>
              </w:rPr>
              <w:t>处理后的水质可达到《碎屑岩油藏注水水质指标技术要求及分析方法》（SY/T5329-2022）中表1中最严格的</w:t>
            </w:r>
            <w:r>
              <w:rPr>
                <w:color w:val="auto"/>
                <w:sz w:val="24"/>
              </w:rPr>
              <w:t>I</w:t>
            </w:r>
            <w:r>
              <w:rPr>
                <w:rFonts w:hint="eastAsia"/>
                <w:color w:val="auto"/>
                <w:sz w:val="24"/>
              </w:rPr>
              <w:t>类水质要求。（水质化验数据见附件</w:t>
            </w:r>
            <w:r>
              <w:rPr>
                <w:rFonts w:hint="eastAsia"/>
                <w:color w:val="auto"/>
                <w:sz w:val="24"/>
                <w:lang w:val="en-US" w:eastAsia="zh-CN"/>
              </w:rPr>
              <w:t>7和附件8</w:t>
            </w:r>
            <w:r>
              <w:rPr>
                <w:rFonts w:hint="eastAsia"/>
                <w:color w:val="auto"/>
                <w:sz w:val="24"/>
              </w:rPr>
              <w:t>）。</w:t>
            </w:r>
            <w:r>
              <w:rPr>
                <w:rFonts w:hint="eastAsia"/>
                <w:color w:val="auto"/>
                <w:sz w:val="24"/>
                <w:lang w:val="en-US" w:eastAsia="zh-CN"/>
              </w:rPr>
              <w:t>类比项目进</w:t>
            </w:r>
            <w:r>
              <w:rPr>
                <w:rFonts w:hint="eastAsia"/>
                <w:color w:val="auto"/>
                <w:sz w:val="24"/>
              </w:rPr>
              <w:t>出水水质监测数据见表2-1</w:t>
            </w:r>
            <w:r>
              <w:rPr>
                <w:rFonts w:hint="eastAsia"/>
                <w:color w:val="auto"/>
                <w:sz w:val="24"/>
                <w:lang w:val="en-US" w:eastAsia="zh-CN"/>
              </w:rPr>
              <w:t>1</w:t>
            </w:r>
            <w:r>
              <w:rPr>
                <w:rFonts w:hint="eastAsia"/>
                <w:color w:val="auto"/>
                <w:sz w:val="24"/>
                <w:lang w:eastAsia="zh-CN"/>
              </w:rPr>
              <w:t>。</w:t>
            </w:r>
          </w:p>
          <w:p>
            <w:pPr>
              <w:pStyle w:val="33"/>
              <w:ind w:left="0" w:leftChars="0" w:firstLine="0"/>
              <w:jc w:val="center"/>
              <w:rPr>
                <w:rFonts w:ascii="黑体" w:hAnsi="黑体" w:eastAsia="黑体" w:cs="黑体"/>
                <w:color w:val="auto"/>
                <w:sz w:val="21"/>
              </w:rPr>
            </w:pPr>
            <w:r>
              <w:rPr>
                <w:rFonts w:hint="eastAsia" w:ascii="黑体" w:hAnsi="黑体" w:eastAsia="黑体" w:cs="黑体"/>
                <w:color w:val="auto"/>
                <w:sz w:val="21"/>
              </w:rPr>
              <w:t>表2-1</w:t>
            </w:r>
            <w:r>
              <w:rPr>
                <w:rFonts w:hint="eastAsia" w:ascii="黑体" w:hAnsi="黑体" w:eastAsia="黑体" w:cs="黑体"/>
                <w:color w:val="auto"/>
                <w:sz w:val="21"/>
                <w:lang w:val="en-US" w:eastAsia="zh-CN"/>
              </w:rPr>
              <w:t>1</w:t>
            </w:r>
            <w:r>
              <w:rPr>
                <w:rFonts w:hint="eastAsia" w:ascii="黑体" w:hAnsi="黑体" w:eastAsia="黑体" w:cs="黑体"/>
                <w:color w:val="auto"/>
                <w:sz w:val="21"/>
              </w:rPr>
              <w:t xml:space="preserve">  </w:t>
            </w:r>
            <w:r>
              <w:rPr>
                <w:rFonts w:hint="eastAsia" w:ascii="黑体" w:hAnsi="黑体" w:eastAsia="黑体" w:cs="黑体"/>
                <w:color w:val="auto"/>
                <w:sz w:val="21"/>
                <w:lang w:val="en-US" w:eastAsia="zh-CN"/>
              </w:rPr>
              <w:t>类比</w:t>
            </w:r>
            <w:r>
              <w:rPr>
                <w:rFonts w:hint="eastAsia" w:ascii="黑体" w:hAnsi="黑体" w:eastAsia="黑体" w:cs="黑体"/>
                <w:color w:val="auto"/>
                <w:sz w:val="21"/>
              </w:rPr>
              <w:t>项目进出水水质监测结果一览表</w:t>
            </w:r>
          </w:p>
          <w:tbl>
            <w:tblPr>
              <w:tblStyle w:val="34"/>
              <w:tblW w:w="8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462"/>
              <w:gridCol w:w="1297"/>
              <w:gridCol w:w="1424"/>
              <w:gridCol w:w="2048"/>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301" w:type="dxa"/>
                  <w:vAlign w:val="center"/>
                </w:tcPr>
                <w:p>
                  <w:pPr>
                    <w:adjustRightInd w:val="0"/>
                    <w:snapToGrid w:val="0"/>
                    <w:jc w:val="center"/>
                    <w:rPr>
                      <w:color w:val="auto"/>
                    </w:rPr>
                  </w:pPr>
                  <w:r>
                    <w:rPr>
                      <w:rFonts w:hint="eastAsia"/>
                      <w:color w:val="auto"/>
                    </w:rPr>
                    <w:t>污染物</w:t>
                  </w:r>
                </w:p>
              </w:tc>
              <w:tc>
                <w:tcPr>
                  <w:tcW w:w="1462" w:type="dxa"/>
                  <w:vAlign w:val="center"/>
                </w:tcPr>
                <w:p>
                  <w:pPr>
                    <w:adjustRightInd w:val="0"/>
                    <w:snapToGrid w:val="0"/>
                    <w:jc w:val="center"/>
                    <w:rPr>
                      <w:color w:val="auto"/>
                    </w:rPr>
                  </w:pPr>
                  <w:r>
                    <w:rPr>
                      <w:rFonts w:hint="eastAsia"/>
                      <w:color w:val="auto"/>
                      <w:szCs w:val="21"/>
                    </w:rPr>
                    <w:t>含油量（mg/L）</w:t>
                  </w:r>
                </w:p>
              </w:tc>
              <w:tc>
                <w:tcPr>
                  <w:tcW w:w="1297" w:type="dxa"/>
                  <w:vAlign w:val="center"/>
                </w:tcPr>
                <w:p>
                  <w:pPr>
                    <w:adjustRightInd w:val="0"/>
                    <w:snapToGrid w:val="0"/>
                    <w:jc w:val="center"/>
                    <w:rPr>
                      <w:color w:val="auto"/>
                    </w:rPr>
                  </w:pPr>
                  <w:r>
                    <w:rPr>
                      <w:rFonts w:hint="eastAsia"/>
                      <w:color w:val="auto"/>
                      <w:szCs w:val="21"/>
                    </w:rPr>
                    <w:t>悬浮固体含量（mg/L）</w:t>
                  </w:r>
                </w:p>
              </w:tc>
              <w:tc>
                <w:tcPr>
                  <w:tcW w:w="1424" w:type="dxa"/>
                  <w:vAlign w:val="center"/>
                </w:tcPr>
                <w:p>
                  <w:pPr>
                    <w:adjustRightInd w:val="0"/>
                    <w:snapToGrid w:val="0"/>
                    <w:jc w:val="center"/>
                    <w:rPr>
                      <w:color w:val="auto"/>
                    </w:rPr>
                  </w:pPr>
                  <w:r>
                    <w:rPr>
                      <w:rFonts w:hint="eastAsia"/>
                      <w:color w:val="auto"/>
                    </w:rPr>
                    <w:t>悬浮物颗粒直径中值</w:t>
                  </w:r>
                  <w:r>
                    <w:rPr>
                      <w:color w:val="auto"/>
                    </w:rPr>
                    <w:t>µm</w:t>
                  </w:r>
                </w:p>
              </w:tc>
              <w:tc>
                <w:tcPr>
                  <w:tcW w:w="2048" w:type="dxa"/>
                  <w:vAlign w:val="center"/>
                </w:tcPr>
                <w:p>
                  <w:pPr>
                    <w:adjustRightInd w:val="0"/>
                    <w:snapToGrid w:val="0"/>
                    <w:jc w:val="center"/>
                    <w:rPr>
                      <w:color w:val="auto"/>
                    </w:rPr>
                  </w:pPr>
                  <w:r>
                    <w:rPr>
                      <w:rFonts w:hint="eastAsia"/>
                      <w:color w:val="auto"/>
                    </w:rPr>
                    <w:t>监测时间</w:t>
                  </w:r>
                </w:p>
              </w:tc>
              <w:tc>
                <w:tcPr>
                  <w:tcW w:w="646" w:type="dxa"/>
                  <w:vAlign w:val="center"/>
                </w:tcPr>
                <w:p>
                  <w:pPr>
                    <w:adjustRightInd w:val="0"/>
                    <w:snapToGrid w:val="0"/>
                    <w:jc w:val="center"/>
                    <w:rPr>
                      <w:color w:val="auto"/>
                    </w:rPr>
                  </w:pPr>
                  <w:r>
                    <w:rPr>
                      <w:rFonts w:hint="eastAsia"/>
                      <w:color w:val="auto"/>
                    </w:rPr>
                    <w:t>达标率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301" w:type="dxa"/>
                  <w:vMerge w:val="restart"/>
                  <w:vAlign w:val="center"/>
                </w:tcPr>
                <w:p>
                  <w:pPr>
                    <w:adjustRightInd w:val="0"/>
                    <w:snapToGrid w:val="0"/>
                    <w:jc w:val="center"/>
                    <w:rPr>
                      <w:color w:val="auto"/>
                    </w:rPr>
                  </w:pPr>
                  <w:r>
                    <w:rPr>
                      <w:rFonts w:hint="eastAsia"/>
                      <w:color w:val="auto"/>
                    </w:rPr>
                    <w:t>进水</w:t>
                  </w:r>
                </w:p>
              </w:tc>
              <w:tc>
                <w:tcPr>
                  <w:tcW w:w="1462" w:type="dxa"/>
                  <w:vAlign w:val="center"/>
                </w:tcPr>
                <w:p>
                  <w:pPr>
                    <w:adjustRightInd w:val="0"/>
                    <w:snapToGrid w:val="0"/>
                    <w:jc w:val="center"/>
                    <w:rPr>
                      <w:rFonts w:hint="default" w:eastAsia="宋体"/>
                      <w:color w:val="auto"/>
                      <w:lang w:val="en-US" w:eastAsia="zh-CN"/>
                    </w:rPr>
                  </w:pPr>
                  <w:r>
                    <w:rPr>
                      <w:rFonts w:hint="eastAsia"/>
                      <w:color w:val="auto"/>
                      <w:szCs w:val="21"/>
                      <w:lang w:val="en-US" w:eastAsia="zh-CN"/>
                    </w:rPr>
                    <w:t>195-211</w:t>
                  </w:r>
                </w:p>
              </w:tc>
              <w:tc>
                <w:tcPr>
                  <w:tcW w:w="1297" w:type="dxa"/>
                  <w:vAlign w:val="center"/>
                </w:tcPr>
                <w:p>
                  <w:pPr>
                    <w:adjustRightInd w:val="0"/>
                    <w:snapToGrid w:val="0"/>
                    <w:jc w:val="center"/>
                    <w:rPr>
                      <w:rFonts w:hint="default" w:eastAsia="宋体"/>
                      <w:color w:val="auto"/>
                      <w:lang w:val="en-US" w:eastAsia="zh-CN"/>
                    </w:rPr>
                  </w:pPr>
                  <w:r>
                    <w:rPr>
                      <w:rFonts w:hint="eastAsia"/>
                      <w:color w:val="auto"/>
                      <w:szCs w:val="21"/>
                      <w:lang w:val="en-US" w:eastAsia="zh-CN"/>
                    </w:rPr>
                    <w:t>144-158</w:t>
                  </w:r>
                </w:p>
              </w:tc>
              <w:tc>
                <w:tcPr>
                  <w:tcW w:w="1424" w:type="dxa"/>
                  <w:vAlign w:val="center"/>
                </w:tcPr>
                <w:p>
                  <w:pPr>
                    <w:adjustRightInd w:val="0"/>
                    <w:snapToGrid w:val="0"/>
                    <w:jc w:val="center"/>
                    <w:rPr>
                      <w:rFonts w:hint="eastAsia" w:eastAsia="宋体"/>
                      <w:color w:val="auto"/>
                      <w:lang w:eastAsia="zh-CN"/>
                    </w:rPr>
                  </w:pPr>
                  <w:r>
                    <w:rPr>
                      <w:rFonts w:hint="eastAsia"/>
                      <w:color w:val="auto"/>
                      <w:lang w:val="en-US" w:eastAsia="zh-CN"/>
                    </w:rPr>
                    <w:t>/</w:t>
                  </w:r>
                </w:p>
              </w:tc>
              <w:tc>
                <w:tcPr>
                  <w:tcW w:w="2048" w:type="dxa"/>
                  <w:vMerge w:val="restart"/>
                  <w:vAlign w:val="center"/>
                </w:tcPr>
                <w:p>
                  <w:pPr>
                    <w:adjustRightInd w:val="0"/>
                    <w:snapToGrid w:val="0"/>
                    <w:jc w:val="center"/>
                    <w:rPr>
                      <w:rFonts w:hint="default" w:eastAsia="宋体"/>
                      <w:color w:val="auto"/>
                      <w:lang w:val="en-US" w:eastAsia="zh-CN"/>
                    </w:rPr>
                  </w:pPr>
                  <w:r>
                    <w:rPr>
                      <w:rFonts w:hint="eastAsia"/>
                      <w:color w:val="auto"/>
                    </w:rPr>
                    <w:t>202</w:t>
                  </w:r>
                  <w:r>
                    <w:rPr>
                      <w:rFonts w:hint="eastAsia"/>
                      <w:color w:val="auto"/>
                      <w:lang w:val="en-US" w:eastAsia="zh-CN"/>
                    </w:rPr>
                    <w:t>1</w:t>
                  </w:r>
                  <w:r>
                    <w:rPr>
                      <w:rFonts w:hint="eastAsia"/>
                      <w:color w:val="auto"/>
                    </w:rPr>
                    <w:t>年1月</w:t>
                  </w:r>
                  <w:r>
                    <w:rPr>
                      <w:rFonts w:hint="eastAsia"/>
                      <w:color w:val="auto"/>
                      <w:lang w:val="en-US" w:eastAsia="zh-CN"/>
                    </w:rPr>
                    <w:t>11</w:t>
                  </w:r>
                  <w:r>
                    <w:rPr>
                      <w:rFonts w:hint="eastAsia"/>
                      <w:color w:val="auto"/>
                    </w:rPr>
                    <w:t>日</w:t>
                  </w:r>
                  <w:r>
                    <w:rPr>
                      <w:rFonts w:hint="eastAsia"/>
                      <w:color w:val="auto"/>
                      <w:lang w:val="en-US" w:eastAsia="zh-CN"/>
                    </w:rPr>
                    <w:t>至</w:t>
                  </w:r>
                  <w:r>
                    <w:rPr>
                      <w:rFonts w:hint="eastAsia"/>
                      <w:color w:val="auto"/>
                    </w:rPr>
                    <w:t>202</w:t>
                  </w:r>
                  <w:r>
                    <w:rPr>
                      <w:rFonts w:hint="eastAsia"/>
                      <w:color w:val="auto"/>
                      <w:lang w:val="en-US" w:eastAsia="zh-CN"/>
                    </w:rPr>
                    <w:t>1</w:t>
                  </w:r>
                  <w:r>
                    <w:rPr>
                      <w:rFonts w:hint="eastAsia"/>
                      <w:color w:val="auto"/>
                    </w:rPr>
                    <w:t>年</w:t>
                  </w:r>
                  <w:r>
                    <w:rPr>
                      <w:rFonts w:hint="eastAsia"/>
                      <w:color w:val="auto"/>
                      <w:lang w:val="en-US" w:eastAsia="zh-CN"/>
                    </w:rPr>
                    <w:t>1月12日</w:t>
                  </w:r>
                </w:p>
              </w:tc>
              <w:tc>
                <w:tcPr>
                  <w:tcW w:w="646" w:type="dxa"/>
                  <w:vMerge w:val="restart"/>
                  <w:vAlign w:val="center"/>
                </w:tcPr>
                <w:p>
                  <w:pPr>
                    <w:adjustRightInd w:val="0"/>
                    <w:snapToGrid w:val="0"/>
                    <w:jc w:val="center"/>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301" w:type="dxa"/>
                  <w:vMerge w:val="continue"/>
                  <w:vAlign w:val="center"/>
                </w:tcPr>
                <w:p>
                  <w:pPr>
                    <w:adjustRightInd w:val="0"/>
                    <w:snapToGrid w:val="0"/>
                    <w:jc w:val="center"/>
                    <w:rPr>
                      <w:color w:val="auto"/>
                    </w:rPr>
                  </w:pPr>
                </w:p>
              </w:tc>
              <w:tc>
                <w:tcPr>
                  <w:tcW w:w="1462"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203（平均值）</w:t>
                  </w:r>
                </w:p>
              </w:tc>
              <w:tc>
                <w:tcPr>
                  <w:tcW w:w="1297"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151（平均值）</w:t>
                  </w:r>
                </w:p>
              </w:tc>
              <w:tc>
                <w:tcPr>
                  <w:tcW w:w="1424" w:type="dxa"/>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2048" w:type="dxa"/>
                  <w:vMerge w:val="continue"/>
                  <w:vAlign w:val="center"/>
                </w:tcPr>
                <w:p>
                  <w:pPr>
                    <w:adjustRightInd w:val="0"/>
                    <w:snapToGrid w:val="0"/>
                    <w:jc w:val="center"/>
                    <w:rPr>
                      <w:rFonts w:hint="eastAsia"/>
                      <w:color w:val="auto"/>
                      <w:szCs w:val="21"/>
                    </w:rPr>
                  </w:pPr>
                </w:p>
              </w:tc>
              <w:tc>
                <w:tcPr>
                  <w:tcW w:w="646" w:type="dxa"/>
                  <w:vMerge w:val="continue"/>
                  <w:vAlign w:val="center"/>
                </w:tcPr>
                <w:p>
                  <w:pPr>
                    <w:adjustRightInd w:val="0"/>
                    <w:snapToGrid w:val="0"/>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301" w:type="dxa"/>
                  <w:vAlign w:val="center"/>
                </w:tcPr>
                <w:p>
                  <w:pPr>
                    <w:adjustRightInd w:val="0"/>
                    <w:snapToGrid w:val="0"/>
                    <w:jc w:val="center"/>
                    <w:rPr>
                      <w:color w:val="auto"/>
                    </w:rPr>
                  </w:pPr>
                  <w:r>
                    <w:rPr>
                      <w:rFonts w:hint="eastAsia"/>
                      <w:color w:val="auto"/>
                    </w:rPr>
                    <w:t>出水(第三方检测)</w:t>
                  </w:r>
                </w:p>
              </w:tc>
              <w:tc>
                <w:tcPr>
                  <w:tcW w:w="1462" w:type="dxa"/>
                  <w:vAlign w:val="center"/>
                </w:tcPr>
                <w:p>
                  <w:pPr>
                    <w:adjustRightInd w:val="0"/>
                    <w:snapToGrid w:val="0"/>
                    <w:jc w:val="center"/>
                    <w:rPr>
                      <w:color w:val="auto"/>
                      <w:szCs w:val="21"/>
                    </w:rPr>
                  </w:pPr>
                  <w:r>
                    <w:rPr>
                      <w:rFonts w:hint="eastAsia"/>
                      <w:color w:val="auto"/>
                      <w:szCs w:val="21"/>
                    </w:rPr>
                    <w:t>0.68（未检出）</w:t>
                  </w:r>
                </w:p>
              </w:tc>
              <w:tc>
                <w:tcPr>
                  <w:tcW w:w="1297" w:type="dxa"/>
                  <w:vAlign w:val="center"/>
                </w:tcPr>
                <w:p>
                  <w:pPr>
                    <w:adjustRightInd w:val="0"/>
                    <w:snapToGrid w:val="0"/>
                    <w:jc w:val="center"/>
                    <w:rPr>
                      <w:color w:val="auto"/>
                      <w:szCs w:val="21"/>
                    </w:rPr>
                  </w:pPr>
                  <w:r>
                    <w:rPr>
                      <w:rFonts w:hint="eastAsia"/>
                      <w:color w:val="auto"/>
                      <w:szCs w:val="21"/>
                    </w:rPr>
                    <w:t>6</w:t>
                  </w:r>
                </w:p>
              </w:tc>
              <w:tc>
                <w:tcPr>
                  <w:tcW w:w="1424" w:type="dxa"/>
                  <w:vAlign w:val="center"/>
                </w:tcPr>
                <w:p>
                  <w:pPr>
                    <w:adjustRightInd w:val="0"/>
                    <w:snapToGrid w:val="0"/>
                    <w:jc w:val="center"/>
                    <w:rPr>
                      <w:color w:val="auto"/>
                    </w:rPr>
                  </w:pPr>
                  <w:r>
                    <w:rPr>
                      <w:rFonts w:hint="eastAsia"/>
                      <w:color w:val="auto"/>
                    </w:rPr>
                    <w:t>0.043</w:t>
                  </w:r>
                </w:p>
              </w:tc>
              <w:tc>
                <w:tcPr>
                  <w:tcW w:w="2048" w:type="dxa"/>
                  <w:vAlign w:val="center"/>
                </w:tcPr>
                <w:p>
                  <w:pPr>
                    <w:adjustRightInd w:val="0"/>
                    <w:snapToGrid w:val="0"/>
                    <w:jc w:val="center"/>
                    <w:rPr>
                      <w:rFonts w:ascii="Times New Roman" w:hAnsi="Times New Roman" w:eastAsia="宋体" w:cs="Times New Roman"/>
                      <w:color w:val="auto"/>
                      <w:kern w:val="2"/>
                      <w:sz w:val="21"/>
                      <w:szCs w:val="24"/>
                      <w:lang w:val="en-US" w:eastAsia="zh-CN" w:bidi="ar-SA"/>
                    </w:rPr>
                  </w:pPr>
                  <w:r>
                    <w:rPr>
                      <w:rFonts w:hint="eastAsia"/>
                      <w:color w:val="auto"/>
                    </w:rPr>
                    <w:t>2023年11月9日</w:t>
                  </w:r>
                </w:p>
              </w:tc>
              <w:tc>
                <w:tcPr>
                  <w:tcW w:w="646" w:type="dxa"/>
                  <w:vAlign w:val="center"/>
                </w:tcPr>
                <w:p>
                  <w:pPr>
                    <w:adjustRightInd w:val="0"/>
                    <w:snapToGrid w:val="0"/>
                    <w:jc w:val="center"/>
                    <w:rPr>
                      <w:color w:val="auto"/>
                    </w:rPr>
                  </w:pPr>
                  <w:r>
                    <w:rPr>
                      <w:rFonts w:hint="eastAsia"/>
                      <w:color w:val="auto"/>
                    </w:rPr>
                    <w:t>100%</w:t>
                  </w:r>
                </w:p>
              </w:tc>
            </w:tr>
          </w:tbl>
          <w:p>
            <w:pPr>
              <w:spacing w:line="360" w:lineRule="auto"/>
              <w:ind w:firstLine="480" w:firstLineChars="200"/>
              <w:rPr>
                <w:rFonts w:hint="default"/>
                <w:color w:val="auto"/>
                <w:sz w:val="24"/>
                <w:lang w:val="en-US" w:eastAsia="zh-CN"/>
              </w:rPr>
            </w:pPr>
            <w:r>
              <w:rPr>
                <w:rFonts w:hint="eastAsia"/>
                <w:color w:val="auto"/>
                <w:sz w:val="24"/>
                <w:lang w:val="en-US" w:eastAsia="zh-CN"/>
              </w:rPr>
              <w:t>③处理效率分析</w:t>
            </w:r>
          </w:p>
          <w:p>
            <w:pPr>
              <w:spacing w:line="360" w:lineRule="auto"/>
              <w:ind w:firstLine="480"/>
              <w:rPr>
                <w:rFonts w:hint="eastAsia"/>
                <w:color w:val="auto"/>
                <w:sz w:val="24"/>
              </w:rPr>
            </w:pPr>
            <w:r>
              <w:rPr>
                <w:rFonts w:hint="eastAsia"/>
                <w:color w:val="auto"/>
                <w:sz w:val="24"/>
              </w:rPr>
              <w:t>对比检测处理效率和设计处理效率可知，含油量检测处理效率略</w:t>
            </w:r>
            <w:r>
              <w:rPr>
                <w:rFonts w:hint="eastAsia"/>
                <w:color w:val="auto"/>
                <w:sz w:val="24"/>
                <w:lang w:val="en-US" w:eastAsia="zh-CN"/>
              </w:rPr>
              <w:t>高</w:t>
            </w:r>
            <w:r>
              <w:rPr>
                <w:rFonts w:hint="eastAsia"/>
                <w:color w:val="auto"/>
                <w:sz w:val="24"/>
              </w:rPr>
              <w:t>于设计处理效率</w:t>
            </w:r>
            <w:r>
              <w:rPr>
                <w:rFonts w:hint="eastAsia"/>
                <w:color w:val="auto"/>
                <w:sz w:val="24"/>
                <w:lang w:val="en-US" w:eastAsia="zh-CN"/>
              </w:rPr>
              <w:t>，</w:t>
            </w:r>
            <w:r>
              <w:rPr>
                <w:rFonts w:hint="eastAsia"/>
                <w:color w:val="auto"/>
                <w:sz w:val="24"/>
              </w:rPr>
              <w:t>悬浮固体含量检测处理效率略低于设计处理效率</w:t>
            </w:r>
            <w:r>
              <w:rPr>
                <w:rFonts w:hint="eastAsia"/>
                <w:color w:val="auto"/>
                <w:sz w:val="24"/>
                <w:lang w:eastAsia="zh-CN"/>
              </w:rPr>
              <w:t>，</w:t>
            </w:r>
            <w:r>
              <w:rPr>
                <w:rFonts w:hint="eastAsia"/>
                <w:color w:val="auto"/>
                <w:sz w:val="24"/>
                <w:lang w:val="en-US" w:eastAsia="zh-CN"/>
              </w:rPr>
              <w:t>整体</w:t>
            </w:r>
            <w:r>
              <w:rPr>
                <w:rFonts w:hint="eastAsia"/>
                <w:color w:val="auto"/>
                <w:sz w:val="24"/>
              </w:rPr>
              <w:t>检测处理效率</w:t>
            </w:r>
            <w:r>
              <w:rPr>
                <w:rFonts w:hint="eastAsia"/>
                <w:color w:val="auto"/>
                <w:sz w:val="24"/>
                <w:lang w:val="en-US" w:eastAsia="zh-CN"/>
              </w:rPr>
              <w:t>和</w:t>
            </w:r>
            <w:r>
              <w:rPr>
                <w:rFonts w:hint="eastAsia"/>
                <w:color w:val="auto"/>
                <w:sz w:val="24"/>
              </w:rPr>
              <w:t>设计处理效率</w:t>
            </w:r>
            <w:r>
              <w:rPr>
                <w:rFonts w:hint="eastAsia"/>
                <w:color w:val="auto"/>
                <w:sz w:val="24"/>
                <w:lang w:val="en-US" w:eastAsia="zh-CN"/>
              </w:rPr>
              <w:t>相差不大，故本项目所选设备运行较稳定</w:t>
            </w:r>
            <w:r>
              <w:rPr>
                <w:rFonts w:hint="eastAsia"/>
                <w:color w:val="auto"/>
                <w:sz w:val="24"/>
              </w:rPr>
              <w:t>。</w:t>
            </w:r>
          </w:p>
          <w:p>
            <w:pPr>
              <w:spacing w:line="360" w:lineRule="auto"/>
              <w:ind w:firstLine="480"/>
              <w:rPr>
                <w:rFonts w:hint="eastAsia" w:ascii="黑体" w:hAnsi="黑体" w:eastAsia="黑体" w:cs="黑体"/>
                <w:color w:val="auto"/>
                <w:sz w:val="21"/>
              </w:rPr>
            </w:pPr>
            <w:r>
              <w:rPr>
                <w:rFonts w:hint="eastAsia"/>
                <w:color w:val="auto"/>
                <w:sz w:val="24"/>
                <w:lang w:val="en-US" w:eastAsia="zh-CN"/>
              </w:rPr>
              <w:t>类比</w:t>
            </w:r>
            <w:r>
              <w:rPr>
                <w:rFonts w:hint="eastAsia"/>
                <w:color w:val="auto"/>
                <w:sz w:val="24"/>
              </w:rPr>
              <w:t>项目检测处理效率与设计效率对比见表2-1</w:t>
            </w:r>
            <w:r>
              <w:rPr>
                <w:rFonts w:hint="eastAsia"/>
                <w:color w:val="auto"/>
                <w:sz w:val="24"/>
                <w:lang w:val="en-US" w:eastAsia="zh-CN"/>
              </w:rPr>
              <w:t>2</w:t>
            </w:r>
            <w:r>
              <w:rPr>
                <w:rFonts w:hint="eastAsia"/>
                <w:color w:val="auto"/>
                <w:sz w:val="24"/>
              </w:rPr>
              <w:t>。</w:t>
            </w:r>
          </w:p>
          <w:p>
            <w:pPr>
              <w:pStyle w:val="33"/>
              <w:ind w:left="0" w:leftChars="0" w:firstLine="0"/>
              <w:jc w:val="center"/>
              <w:rPr>
                <w:rFonts w:ascii="黑体" w:hAnsi="黑体" w:eastAsia="黑体" w:cs="黑体"/>
                <w:color w:val="auto"/>
                <w:sz w:val="21"/>
              </w:rPr>
            </w:pPr>
            <w:r>
              <w:rPr>
                <w:rFonts w:hint="eastAsia" w:ascii="黑体" w:hAnsi="黑体" w:eastAsia="黑体" w:cs="黑体"/>
                <w:color w:val="auto"/>
                <w:sz w:val="21"/>
              </w:rPr>
              <w:t>表2-1</w:t>
            </w:r>
            <w:r>
              <w:rPr>
                <w:rFonts w:hint="eastAsia" w:ascii="黑体" w:hAnsi="黑体" w:eastAsia="黑体" w:cs="黑体"/>
                <w:color w:val="auto"/>
                <w:sz w:val="21"/>
                <w:lang w:val="en-US" w:eastAsia="zh-CN"/>
              </w:rPr>
              <w:t>2</w:t>
            </w:r>
            <w:r>
              <w:rPr>
                <w:rFonts w:hint="eastAsia" w:ascii="黑体" w:hAnsi="黑体" w:eastAsia="黑体" w:cs="黑体"/>
                <w:color w:val="auto"/>
                <w:sz w:val="21"/>
              </w:rPr>
              <w:t xml:space="preserve">  </w:t>
            </w:r>
            <w:r>
              <w:rPr>
                <w:rFonts w:hint="eastAsia" w:ascii="黑体" w:hAnsi="黑体" w:eastAsia="黑体" w:cs="黑体"/>
                <w:color w:val="auto"/>
                <w:sz w:val="21"/>
                <w:lang w:val="en-US" w:eastAsia="zh-CN"/>
              </w:rPr>
              <w:t>类比</w:t>
            </w:r>
            <w:r>
              <w:rPr>
                <w:rFonts w:hint="eastAsia" w:ascii="黑体" w:hAnsi="黑体" w:eastAsia="黑体" w:cs="黑体"/>
                <w:color w:val="auto"/>
                <w:sz w:val="21"/>
              </w:rPr>
              <w:t>项目</w:t>
            </w:r>
            <w:r>
              <w:rPr>
                <w:rFonts w:hint="eastAsia" w:ascii="黑体" w:hAnsi="黑体" w:eastAsia="黑体" w:cs="黑体"/>
                <w:color w:val="auto"/>
                <w:sz w:val="21"/>
                <w:lang w:val="en-US" w:eastAsia="zh-CN"/>
              </w:rPr>
              <w:t>检测</w:t>
            </w:r>
            <w:r>
              <w:rPr>
                <w:rFonts w:hint="eastAsia" w:ascii="黑体" w:hAnsi="黑体" w:eastAsia="黑体" w:cs="黑体"/>
                <w:color w:val="auto"/>
                <w:sz w:val="21"/>
              </w:rPr>
              <w:t>处理效率与设计效率对比一览表</w:t>
            </w:r>
          </w:p>
          <w:tbl>
            <w:tblPr>
              <w:tblStyle w:val="34"/>
              <w:tblW w:w="8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0"/>
              <w:gridCol w:w="2495"/>
              <w:gridCol w:w="2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650" w:type="dxa"/>
                  <w:vAlign w:val="center"/>
                </w:tcPr>
                <w:p>
                  <w:pPr>
                    <w:adjustRightInd w:val="0"/>
                    <w:snapToGrid w:val="0"/>
                    <w:jc w:val="center"/>
                    <w:rPr>
                      <w:rFonts w:hint="eastAsia"/>
                      <w:color w:val="auto"/>
                    </w:rPr>
                  </w:pPr>
                  <w:r>
                    <w:rPr>
                      <w:rFonts w:hint="eastAsia"/>
                      <w:color w:val="auto"/>
                    </w:rPr>
                    <w:t>污染物</w:t>
                  </w:r>
                </w:p>
              </w:tc>
              <w:tc>
                <w:tcPr>
                  <w:tcW w:w="2495" w:type="dxa"/>
                  <w:vAlign w:val="center"/>
                </w:tcPr>
                <w:p>
                  <w:pPr>
                    <w:adjustRightInd w:val="0"/>
                    <w:snapToGrid w:val="0"/>
                    <w:jc w:val="center"/>
                    <w:rPr>
                      <w:color w:val="auto"/>
                    </w:rPr>
                  </w:pPr>
                  <w:r>
                    <w:rPr>
                      <w:rFonts w:hint="eastAsia"/>
                      <w:color w:val="auto"/>
                    </w:rPr>
                    <w:t>含油量</w:t>
                  </w:r>
                </w:p>
              </w:tc>
              <w:tc>
                <w:tcPr>
                  <w:tcW w:w="2873" w:type="dxa"/>
                  <w:vAlign w:val="center"/>
                </w:tcPr>
                <w:p>
                  <w:pPr>
                    <w:adjustRightInd w:val="0"/>
                    <w:snapToGrid w:val="0"/>
                    <w:jc w:val="center"/>
                    <w:rPr>
                      <w:color w:val="auto"/>
                    </w:rPr>
                  </w:pPr>
                  <w:r>
                    <w:rPr>
                      <w:rFonts w:hint="eastAsia"/>
                      <w:color w:val="auto"/>
                    </w:rPr>
                    <w:t>悬浮固体含量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50" w:type="dxa"/>
                  <w:vAlign w:val="center"/>
                </w:tcPr>
                <w:p>
                  <w:pPr>
                    <w:adjustRightInd w:val="0"/>
                    <w:snapToGrid w:val="0"/>
                    <w:jc w:val="center"/>
                    <w:rPr>
                      <w:rFonts w:hint="eastAsia"/>
                      <w:color w:val="auto"/>
                    </w:rPr>
                  </w:pPr>
                  <w:r>
                    <w:rPr>
                      <w:rFonts w:hint="eastAsia"/>
                      <w:color w:val="auto"/>
                    </w:rPr>
                    <w:t>检测处理效率</w:t>
                  </w:r>
                </w:p>
              </w:tc>
              <w:tc>
                <w:tcPr>
                  <w:tcW w:w="2495" w:type="dxa"/>
                  <w:vAlign w:val="center"/>
                </w:tcPr>
                <w:p>
                  <w:pPr>
                    <w:adjustRightInd w:val="0"/>
                    <w:snapToGrid w:val="0"/>
                    <w:jc w:val="center"/>
                    <w:rPr>
                      <w:color w:val="auto"/>
                    </w:rPr>
                  </w:pPr>
                  <w:r>
                    <w:rPr>
                      <w:rFonts w:hint="eastAsia"/>
                      <w:color w:val="auto"/>
                      <w:lang w:val="en-US" w:eastAsia="zh-CN"/>
                    </w:rPr>
                    <w:t>99.67</w:t>
                  </w:r>
                  <w:r>
                    <w:rPr>
                      <w:rFonts w:hint="eastAsia"/>
                      <w:color w:val="auto"/>
                    </w:rPr>
                    <w:t>%</w:t>
                  </w:r>
                </w:p>
              </w:tc>
              <w:tc>
                <w:tcPr>
                  <w:tcW w:w="2873" w:type="dxa"/>
                  <w:vAlign w:val="center"/>
                </w:tcPr>
                <w:p>
                  <w:pPr>
                    <w:adjustRightInd w:val="0"/>
                    <w:snapToGrid w:val="0"/>
                    <w:jc w:val="center"/>
                    <w:rPr>
                      <w:color w:val="auto"/>
                    </w:rPr>
                  </w:pPr>
                  <w:r>
                    <w:rPr>
                      <w:rFonts w:hint="eastAsia"/>
                      <w:color w:val="auto"/>
                      <w:lang w:val="en-US" w:eastAsia="zh-CN"/>
                    </w:rPr>
                    <w:t>96.02</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650" w:type="dxa"/>
                  <w:vAlign w:val="center"/>
                </w:tcPr>
                <w:p>
                  <w:pPr>
                    <w:adjustRightInd w:val="0"/>
                    <w:snapToGrid w:val="0"/>
                    <w:jc w:val="center"/>
                    <w:rPr>
                      <w:rFonts w:hint="eastAsia"/>
                      <w:color w:val="auto"/>
                    </w:rPr>
                  </w:pPr>
                  <w:r>
                    <w:rPr>
                      <w:rFonts w:hint="eastAsia"/>
                      <w:color w:val="auto"/>
                    </w:rPr>
                    <w:t>设计处理效率</w:t>
                  </w:r>
                </w:p>
              </w:tc>
              <w:tc>
                <w:tcPr>
                  <w:tcW w:w="2495" w:type="dxa"/>
                  <w:vAlign w:val="center"/>
                </w:tcPr>
                <w:p>
                  <w:pPr>
                    <w:adjustRightInd w:val="0"/>
                    <w:snapToGrid w:val="0"/>
                    <w:jc w:val="center"/>
                    <w:rPr>
                      <w:color w:val="auto"/>
                    </w:rPr>
                  </w:pPr>
                  <w:r>
                    <w:rPr>
                      <w:rFonts w:hint="eastAsia"/>
                      <w:color w:val="auto"/>
                    </w:rPr>
                    <w:t>99.3%</w:t>
                  </w:r>
                </w:p>
              </w:tc>
              <w:tc>
                <w:tcPr>
                  <w:tcW w:w="2873" w:type="dxa"/>
                  <w:vAlign w:val="center"/>
                </w:tcPr>
                <w:p>
                  <w:pPr>
                    <w:adjustRightInd w:val="0"/>
                    <w:snapToGrid w:val="0"/>
                    <w:jc w:val="center"/>
                    <w:rPr>
                      <w:color w:val="auto"/>
                    </w:rPr>
                  </w:pPr>
                  <w:r>
                    <w:rPr>
                      <w:rFonts w:hint="eastAsia"/>
                      <w:color w:val="auto"/>
                    </w:rPr>
                    <w:t>99.6%</w:t>
                  </w:r>
                </w:p>
              </w:tc>
            </w:tr>
          </w:tbl>
          <w:p>
            <w:pPr>
              <w:spacing w:line="360" w:lineRule="auto"/>
              <w:ind w:firstLine="480" w:firstLineChars="200"/>
              <w:rPr>
                <w:rFonts w:hint="default"/>
                <w:color w:val="auto"/>
                <w:sz w:val="24"/>
                <w:lang w:val="en-US" w:eastAsia="zh-CN"/>
              </w:rPr>
            </w:pPr>
            <w:r>
              <w:rPr>
                <w:rFonts w:hint="eastAsia"/>
                <w:color w:val="auto"/>
                <w:sz w:val="24"/>
                <w:lang w:val="en-US" w:eastAsia="zh-CN"/>
              </w:rPr>
              <w:t>④类比项目环保手续情况</w:t>
            </w:r>
          </w:p>
          <w:p>
            <w:pPr>
              <w:spacing w:line="360" w:lineRule="auto"/>
              <w:ind w:firstLine="480"/>
              <w:rPr>
                <w:rFonts w:hint="eastAsia" w:eastAsia="宋体"/>
                <w:color w:val="auto"/>
                <w:sz w:val="24"/>
                <w:lang w:eastAsia="zh-CN"/>
              </w:rPr>
            </w:pPr>
            <w:r>
              <w:rPr>
                <w:rFonts w:hint="eastAsia"/>
                <w:color w:val="auto"/>
                <w:sz w:val="24"/>
              </w:rPr>
              <w:t>本次</w:t>
            </w:r>
            <w:r>
              <w:rPr>
                <w:rFonts w:hint="eastAsia"/>
                <w:color w:val="auto"/>
                <w:sz w:val="24"/>
                <w:lang w:val="en-US" w:eastAsia="zh-CN"/>
              </w:rPr>
              <w:t>进水</w:t>
            </w:r>
            <w:r>
              <w:rPr>
                <w:rFonts w:hint="eastAsia"/>
                <w:color w:val="auto"/>
                <w:sz w:val="24"/>
              </w:rPr>
              <w:t>资料</w:t>
            </w:r>
            <w:r>
              <w:rPr>
                <w:rFonts w:hint="eastAsia"/>
                <w:color w:val="auto"/>
                <w:sz w:val="24"/>
                <w:lang w:val="en-US" w:eastAsia="zh-CN"/>
              </w:rPr>
              <w:t>来源于东仁沟油区，出水</w:t>
            </w:r>
            <w:r>
              <w:rPr>
                <w:rFonts w:hint="eastAsia"/>
                <w:color w:val="auto"/>
                <w:sz w:val="24"/>
              </w:rPr>
              <w:t>水质来源</w:t>
            </w:r>
            <w:r>
              <w:rPr>
                <w:rFonts w:hint="eastAsia"/>
                <w:color w:val="auto"/>
                <w:sz w:val="24"/>
                <w:lang w:val="en-US" w:eastAsia="zh-CN"/>
              </w:rPr>
              <w:t>于</w:t>
            </w:r>
            <w:r>
              <w:rPr>
                <w:rFonts w:hint="eastAsia"/>
                <w:color w:val="auto"/>
                <w:sz w:val="24"/>
              </w:rPr>
              <w:t>东仁沟采油队庙沟2642站</w:t>
            </w:r>
            <w:r>
              <w:rPr>
                <w:rFonts w:hint="eastAsia"/>
                <w:color w:val="auto"/>
                <w:sz w:val="24"/>
                <w:lang w:eastAsia="zh-CN"/>
              </w:rPr>
              <w:t>。</w:t>
            </w:r>
          </w:p>
          <w:p>
            <w:pPr>
              <w:spacing w:line="360" w:lineRule="auto"/>
              <w:ind w:firstLine="480" w:firstLineChars="200"/>
              <w:rPr>
                <w:color w:val="auto"/>
                <w:sz w:val="24"/>
              </w:rPr>
            </w:pPr>
            <w:r>
              <w:rPr>
                <w:rFonts w:hint="eastAsia"/>
                <w:color w:val="auto"/>
                <w:sz w:val="24"/>
                <w:lang w:val="en-US" w:eastAsia="zh-CN"/>
              </w:rPr>
              <w:t>类比的</w:t>
            </w:r>
            <w:r>
              <w:rPr>
                <w:rFonts w:hint="eastAsia"/>
                <w:color w:val="auto"/>
                <w:sz w:val="24"/>
              </w:rPr>
              <w:t>本项目同工艺的东仁沟采油队庙沟污水处理站2642站的环评、应急预案、验收手续均纳入全厂的产能环评、应急预案和验收。为方便管理，定边采油厂以各采油队为主体办理了排污许可手续，2642站排污许可手续纳入东仁沟采油队。</w:t>
            </w:r>
          </w:p>
          <w:p>
            <w:pPr>
              <w:spacing w:line="360" w:lineRule="auto"/>
              <w:ind w:firstLine="480"/>
              <w:rPr>
                <w:color w:val="auto"/>
                <w:sz w:val="24"/>
              </w:rPr>
            </w:pPr>
            <w:r>
              <w:rPr>
                <w:rFonts w:hint="eastAsia"/>
                <w:color w:val="auto"/>
                <w:sz w:val="24"/>
              </w:rPr>
              <w:t>全厂产能环评、排污许可办理、应急预案、验收情况如下：</w:t>
            </w:r>
          </w:p>
          <w:p>
            <w:pPr>
              <w:spacing w:line="360" w:lineRule="auto"/>
              <w:ind w:firstLine="480"/>
              <w:rPr>
                <w:color w:val="auto"/>
                <w:sz w:val="24"/>
              </w:rPr>
            </w:pPr>
            <w:r>
              <w:rPr>
                <w:rFonts w:hint="eastAsia"/>
                <w:color w:val="auto"/>
                <w:sz w:val="24"/>
              </w:rPr>
              <w:t>2013年2月25日，延长油田股份有限公司定边采油厂委托西安地质矿产研究所和榆林市环境科技咨询服务有限公司合作承担“延长油田股份有限公司定边采油厂56万吨/年产能开发项目”的补办环境影响评价手续。2014年1月21日榆林市环境保护局以榆政环发【2014】22号对《延长油田股份有限公司定边采油厂56万吨/年产能开发项目环境影响报告书》进行了批复。</w:t>
            </w:r>
          </w:p>
          <w:p>
            <w:pPr>
              <w:spacing w:line="360" w:lineRule="auto"/>
              <w:ind w:firstLine="480"/>
              <w:rPr>
                <w:color w:val="auto"/>
                <w:sz w:val="24"/>
              </w:rPr>
            </w:pPr>
            <w:r>
              <w:rPr>
                <w:rFonts w:hint="eastAsia"/>
                <w:color w:val="auto"/>
                <w:sz w:val="24"/>
              </w:rPr>
              <w:t>2020年5月20日，延长油田股份有限公司定边采油厂东仁沟采油队办理了固定污染源排污登记回执，后至2023年11月28日期间进行了12次变更（</w:t>
            </w:r>
            <w:r>
              <w:rPr>
                <w:color w:val="auto"/>
                <w:sz w:val="24"/>
              </w:rPr>
              <w:t>登记</w:t>
            </w:r>
            <w:r>
              <w:rPr>
                <w:rFonts w:hint="eastAsia"/>
                <w:color w:val="auto"/>
                <w:sz w:val="24"/>
              </w:rPr>
              <w:t>回执</w:t>
            </w:r>
            <w:r>
              <w:rPr>
                <w:color w:val="auto"/>
                <w:sz w:val="24"/>
              </w:rPr>
              <w:t>编号</w:t>
            </w:r>
            <w:r>
              <w:rPr>
                <w:rFonts w:hint="eastAsia"/>
                <w:color w:val="auto"/>
                <w:sz w:val="24"/>
              </w:rPr>
              <w:t>：</w:t>
            </w:r>
            <w:r>
              <w:rPr>
                <w:color w:val="auto"/>
                <w:sz w:val="24"/>
              </w:rPr>
              <w:t>91610825224120933M013W</w:t>
            </w:r>
            <w:r>
              <w:rPr>
                <w:rFonts w:hint="eastAsia"/>
                <w:color w:val="auto"/>
                <w:sz w:val="24"/>
              </w:rPr>
              <w:t>）。</w:t>
            </w:r>
          </w:p>
          <w:p>
            <w:pPr>
              <w:spacing w:line="360" w:lineRule="auto"/>
              <w:ind w:firstLine="480"/>
              <w:rPr>
                <w:color w:val="auto"/>
                <w:sz w:val="24"/>
              </w:rPr>
            </w:pPr>
            <w:r>
              <w:rPr>
                <w:rFonts w:hint="eastAsia"/>
                <w:color w:val="auto"/>
                <w:sz w:val="24"/>
              </w:rPr>
              <w:t>2021年9月2日延长油田股份有限公司定边采油厂对全厂突发环境事件应急预案进行了修编，并在榆林市生态环境局定边分局进行了备案（备案</w:t>
            </w:r>
            <w:r>
              <w:rPr>
                <w:color w:val="auto"/>
                <w:sz w:val="24"/>
              </w:rPr>
              <w:t>号</w:t>
            </w:r>
            <w:r>
              <w:rPr>
                <w:rFonts w:hint="eastAsia"/>
                <w:color w:val="auto"/>
                <w:sz w:val="24"/>
              </w:rPr>
              <w:t>：610825-2021-025-m）。</w:t>
            </w:r>
          </w:p>
          <w:p>
            <w:pPr>
              <w:spacing w:line="360" w:lineRule="auto"/>
              <w:ind w:firstLine="480"/>
              <w:rPr>
                <w:rFonts w:hint="eastAsia"/>
                <w:color w:val="auto"/>
                <w:sz w:val="24"/>
              </w:rPr>
            </w:pPr>
            <w:r>
              <w:rPr>
                <w:rFonts w:hint="eastAsia"/>
                <w:color w:val="auto"/>
                <w:sz w:val="24"/>
              </w:rPr>
              <w:t>2021年3月，延长油田股份有限公司定边采油厂委托榆林市环境科技咨询服务有限公司编制完成了《延长油田股份有限公司定边采油厂56万吨/年产能开发项目竣工环境保护验收调查报告》进行了自主验收。</w:t>
            </w:r>
          </w:p>
          <w:p>
            <w:pPr>
              <w:spacing w:line="360" w:lineRule="auto"/>
              <w:ind w:firstLine="480"/>
              <w:rPr>
                <w:color w:val="auto"/>
              </w:rPr>
            </w:pPr>
            <w:r>
              <w:rPr>
                <w:rFonts w:hint="eastAsia"/>
                <w:color w:val="auto"/>
                <w:sz w:val="24"/>
                <w:lang w:val="en-US" w:eastAsia="zh-CN"/>
              </w:rPr>
              <w:t>参考项目的</w:t>
            </w:r>
            <w:r>
              <w:rPr>
                <w:rFonts w:hint="eastAsia"/>
                <w:color w:val="auto"/>
                <w:sz w:val="24"/>
              </w:rPr>
              <w:t>环保手续较齐全，可参考性较高</w:t>
            </w:r>
            <w:r>
              <w:rPr>
                <w:rFonts w:hint="eastAsia"/>
                <w:color w:val="auto"/>
                <w:sz w:val="24"/>
                <w:lang w:eastAsia="zh-CN"/>
              </w:rPr>
              <w:t>，</w:t>
            </w:r>
            <w:r>
              <w:rPr>
                <w:rFonts w:hint="eastAsia"/>
                <w:color w:val="auto"/>
                <w:sz w:val="24"/>
              </w:rPr>
              <w:t>类比该站监测报告分析达标性可行性较高。</w:t>
            </w:r>
          </w:p>
          <w:p>
            <w:pPr>
              <w:spacing w:line="360" w:lineRule="auto"/>
              <w:ind w:firstLine="480"/>
              <w:rPr>
                <w:rFonts w:hint="default" w:eastAsia="宋体"/>
                <w:color w:val="auto"/>
                <w:sz w:val="24"/>
                <w:lang w:val="en-US" w:eastAsia="zh-CN"/>
              </w:rPr>
            </w:pPr>
            <w:r>
              <w:rPr>
                <w:rFonts w:hint="eastAsia"/>
                <w:color w:val="auto"/>
                <w:sz w:val="24"/>
              </w:rPr>
              <w:t>⑶</w:t>
            </w:r>
            <w:r>
              <w:rPr>
                <w:rFonts w:hint="eastAsia"/>
                <w:color w:val="auto"/>
                <w:sz w:val="24"/>
                <w:lang w:val="en-US" w:eastAsia="zh-CN"/>
              </w:rPr>
              <w:t>持续达标性分析</w:t>
            </w:r>
          </w:p>
          <w:p>
            <w:pPr>
              <w:spacing w:line="360" w:lineRule="auto"/>
              <w:ind w:firstLine="480"/>
              <w:rPr>
                <w:rFonts w:hint="eastAsia"/>
                <w:color w:val="auto"/>
                <w:sz w:val="24"/>
                <w:lang w:val="en-US" w:eastAsia="zh-CN"/>
              </w:rPr>
            </w:pPr>
            <w:r>
              <w:rPr>
                <w:rFonts w:hint="eastAsia"/>
                <w:color w:val="auto"/>
                <w:sz w:val="24"/>
              </w:rPr>
              <w:t>根据定边采油厂提供资料及与项目负责人咨询可知，定边采油厂无例行进水水质监测，出水水质每天监测一次。根据东仁沟采油队庙沟定2642污水处理站</w:t>
            </w:r>
            <w:r>
              <w:rPr>
                <w:rFonts w:hint="eastAsia"/>
                <w:color w:val="auto"/>
                <w:sz w:val="24"/>
                <w:lang w:eastAsia="zh-CN"/>
              </w:rPr>
              <w:t>（</w:t>
            </w:r>
            <w:r>
              <w:rPr>
                <w:rFonts w:hint="eastAsia"/>
                <w:color w:val="auto"/>
                <w:sz w:val="24"/>
                <w:lang w:val="en-US" w:eastAsia="zh-CN"/>
              </w:rPr>
              <w:t>出水进入上蔡渠回注水站</w:t>
            </w:r>
            <w:r>
              <w:rPr>
                <w:rFonts w:hint="eastAsia"/>
                <w:color w:val="auto"/>
                <w:sz w:val="24"/>
                <w:lang w:eastAsia="zh-CN"/>
              </w:rPr>
              <w:t>）</w:t>
            </w:r>
            <w:r>
              <w:rPr>
                <w:rFonts w:hint="eastAsia"/>
                <w:color w:val="auto"/>
                <w:sz w:val="24"/>
              </w:rPr>
              <w:t>提供的最新的10月份整月的自行水质化验数据可知，采出水经本项目所用工艺和设备处理后的水质可达到《碎屑岩油藏注水水质指标技术要求及分析方法》（SY/T5329-2022）中表1中I类水质要求</w:t>
            </w:r>
            <w:r>
              <w:rPr>
                <w:rFonts w:hint="eastAsia"/>
                <w:color w:val="auto"/>
                <w:sz w:val="24"/>
                <w:lang w:eastAsia="zh-CN"/>
              </w:rPr>
              <w:t>，</w:t>
            </w:r>
            <w:r>
              <w:rPr>
                <w:rFonts w:hint="eastAsia"/>
                <w:color w:val="auto"/>
                <w:sz w:val="24"/>
                <w:lang w:val="en-US" w:eastAsia="zh-CN"/>
              </w:rPr>
              <w:t>并且整月达标率为100%，本工艺所用设备运行较稳定，达标率较高，持续达标性较好</w:t>
            </w:r>
            <w:r>
              <w:rPr>
                <w:rFonts w:hint="eastAsia"/>
                <w:color w:val="auto"/>
                <w:sz w:val="24"/>
              </w:rPr>
              <w:t>。同工艺项目水质监测结果</w:t>
            </w:r>
            <w:r>
              <w:rPr>
                <w:rFonts w:hint="eastAsia"/>
                <w:color w:val="auto"/>
                <w:sz w:val="24"/>
                <w:lang w:val="en-US" w:eastAsia="zh-CN"/>
              </w:rPr>
              <w:t>见</w:t>
            </w:r>
            <w:r>
              <w:rPr>
                <w:rFonts w:hint="eastAsia"/>
                <w:color w:val="auto"/>
                <w:sz w:val="24"/>
              </w:rPr>
              <w:t>表</w:t>
            </w:r>
            <w:r>
              <w:rPr>
                <w:rFonts w:hint="eastAsia"/>
                <w:color w:val="auto"/>
                <w:sz w:val="24"/>
                <w:lang w:val="en-US" w:eastAsia="zh-CN"/>
              </w:rPr>
              <w:t>2-13。</w:t>
            </w:r>
            <w:r>
              <w:rPr>
                <w:rFonts w:hint="eastAsia"/>
                <w:color w:val="auto"/>
                <w:sz w:val="24"/>
              </w:rPr>
              <w:t>（水质化验数据见附件</w:t>
            </w:r>
            <w:r>
              <w:rPr>
                <w:rFonts w:hint="eastAsia"/>
                <w:color w:val="auto"/>
                <w:sz w:val="24"/>
                <w:lang w:val="en-US" w:eastAsia="zh-CN"/>
              </w:rPr>
              <w:t>4</w:t>
            </w:r>
            <w:r>
              <w:rPr>
                <w:rFonts w:hint="eastAsia"/>
                <w:color w:val="auto"/>
                <w:sz w:val="24"/>
              </w:rPr>
              <w:t>）</w:t>
            </w:r>
            <w:r>
              <w:rPr>
                <w:rFonts w:hint="eastAsia"/>
                <w:color w:val="auto"/>
                <w:sz w:val="24"/>
                <w:lang w:val="en-US" w:eastAsia="zh-CN"/>
              </w:rPr>
              <w:t>。</w:t>
            </w:r>
          </w:p>
          <w:p>
            <w:pPr>
              <w:pStyle w:val="33"/>
              <w:ind w:left="0" w:leftChars="0" w:firstLine="0"/>
              <w:jc w:val="center"/>
              <w:rPr>
                <w:rFonts w:ascii="黑体" w:hAnsi="黑体" w:eastAsia="黑体" w:cs="黑体"/>
                <w:color w:val="auto"/>
                <w:sz w:val="21"/>
              </w:rPr>
            </w:pPr>
            <w:r>
              <w:rPr>
                <w:rFonts w:hint="eastAsia" w:ascii="黑体" w:hAnsi="黑体" w:eastAsia="黑体" w:cs="黑体"/>
                <w:color w:val="auto"/>
                <w:sz w:val="21"/>
              </w:rPr>
              <w:t>表2-1</w:t>
            </w:r>
            <w:r>
              <w:rPr>
                <w:rFonts w:hint="eastAsia" w:ascii="黑体" w:hAnsi="黑体" w:eastAsia="黑体" w:cs="黑体"/>
                <w:color w:val="auto"/>
                <w:sz w:val="21"/>
                <w:lang w:val="en-US" w:eastAsia="zh-CN"/>
              </w:rPr>
              <w:t>3</w:t>
            </w:r>
            <w:r>
              <w:rPr>
                <w:rFonts w:hint="eastAsia" w:ascii="黑体" w:hAnsi="黑体" w:eastAsia="黑体" w:cs="黑体"/>
                <w:color w:val="auto"/>
                <w:sz w:val="21"/>
              </w:rPr>
              <w:t xml:space="preserve">  同工艺项目水质监测结果一览表</w:t>
            </w:r>
          </w:p>
          <w:tbl>
            <w:tblPr>
              <w:tblStyle w:val="34"/>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436"/>
              <w:gridCol w:w="1275"/>
              <w:gridCol w:w="1400"/>
              <w:gridCol w:w="2012"/>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278" w:type="dxa"/>
                  <w:vAlign w:val="center"/>
                </w:tcPr>
                <w:p>
                  <w:pPr>
                    <w:adjustRightInd w:val="0"/>
                    <w:snapToGrid w:val="0"/>
                    <w:jc w:val="center"/>
                    <w:rPr>
                      <w:color w:val="auto"/>
                    </w:rPr>
                  </w:pPr>
                  <w:r>
                    <w:rPr>
                      <w:rFonts w:hint="eastAsia"/>
                      <w:color w:val="auto"/>
                    </w:rPr>
                    <w:t>污染物</w:t>
                  </w:r>
                </w:p>
              </w:tc>
              <w:tc>
                <w:tcPr>
                  <w:tcW w:w="1436" w:type="dxa"/>
                  <w:vAlign w:val="center"/>
                </w:tcPr>
                <w:p>
                  <w:pPr>
                    <w:adjustRightInd w:val="0"/>
                    <w:snapToGrid w:val="0"/>
                    <w:jc w:val="center"/>
                    <w:rPr>
                      <w:color w:val="auto"/>
                    </w:rPr>
                  </w:pPr>
                  <w:r>
                    <w:rPr>
                      <w:rFonts w:hint="eastAsia"/>
                      <w:color w:val="auto"/>
                      <w:szCs w:val="21"/>
                    </w:rPr>
                    <w:t>含油量（mg/L）</w:t>
                  </w:r>
                </w:p>
              </w:tc>
              <w:tc>
                <w:tcPr>
                  <w:tcW w:w="1275" w:type="dxa"/>
                  <w:vAlign w:val="center"/>
                </w:tcPr>
                <w:p>
                  <w:pPr>
                    <w:adjustRightInd w:val="0"/>
                    <w:snapToGrid w:val="0"/>
                    <w:jc w:val="center"/>
                    <w:rPr>
                      <w:color w:val="auto"/>
                    </w:rPr>
                  </w:pPr>
                  <w:r>
                    <w:rPr>
                      <w:rFonts w:hint="eastAsia"/>
                      <w:color w:val="auto"/>
                      <w:szCs w:val="21"/>
                    </w:rPr>
                    <w:t>悬浮固体含量（mg/L）</w:t>
                  </w:r>
                </w:p>
              </w:tc>
              <w:tc>
                <w:tcPr>
                  <w:tcW w:w="1400" w:type="dxa"/>
                  <w:vAlign w:val="center"/>
                </w:tcPr>
                <w:p>
                  <w:pPr>
                    <w:adjustRightInd w:val="0"/>
                    <w:snapToGrid w:val="0"/>
                    <w:jc w:val="center"/>
                    <w:rPr>
                      <w:color w:val="auto"/>
                    </w:rPr>
                  </w:pPr>
                  <w:r>
                    <w:rPr>
                      <w:rFonts w:hint="eastAsia"/>
                      <w:color w:val="auto"/>
                    </w:rPr>
                    <w:t>悬浮物颗粒直径中值</w:t>
                  </w:r>
                  <w:r>
                    <w:rPr>
                      <w:color w:val="auto"/>
                    </w:rPr>
                    <w:t>µm</w:t>
                  </w:r>
                </w:p>
              </w:tc>
              <w:tc>
                <w:tcPr>
                  <w:tcW w:w="2012" w:type="dxa"/>
                  <w:vAlign w:val="center"/>
                </w:tcPr>
                <w:p>
                  <w:pPr>
                    <w:adjustRightInd w:val="0"/>
                    <w:snapToGrid w:val="0"/>
                    <w:jc w:val="center"/>
                    <w:rPr>
                      <w:color w:val="auto"/>
                    </w:rPr>
                  </w:pPr>
                  <w:r>
                    <w:rPr>
                      <w:rFonts w:hint="eastAsia"/>
                      <w:color w:val="auto"/>
                    </w:rPr>
                    <w:t>监测时间</w:t>
                  </w:r>
                </w:p>
              </w:tc>
              <w:tc>
                <w:tcPr>
                  <w:tcW w:w="636" w:type="dxa"/>
                  <w:vAlign w:val="center"/>
                </w:tcPr>
                <w:p>
                  <w:pPr>
                    <w:adjustRightInd w:val="0"/>
                    <w:snapToGrid w:val="0"/>
                    <w:jc w:val="center"/>
                    <w:rPr>
                      <w:color w:val="auto"/>
                    </w:rPr>
                  </w:pPr>
                  <w:r>
                    <w:rPr>
                      <w:rFonts w:hint="eastAsia"/>
                      <w:color w:val="auto"/>
                    </w:rPr>
                    <w:t>达标率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78" w:type="dxa"/>
                  <w:vAlign w:val="center"/>
                </w:tcPr>
                <w:p>
                  <w:pPr>
                    <w:adjustRightInd w:val="0"/>
                    <w:snapToGrid w:val="0"/>
                    <w:jc w:val="center"/>
                    <w:rPr>
                      <w:color w:val="auto"/>
                    </w:rPr>
                  </w:pPr>
                  <w:r>
                    <w:rPr>
                      <w:rFonts w:hint="eastAsia"/>
                      <w:color w:val="auto"/>
                    </w:rPr>
                    <w:t>出水(自行检测)</w:t>
                  </w:r>
                </w:p>
              </w:tc>
              <w:tc>
                <w:tcPr>
                  <w:tcW w:w="1436" w:type="dxa"/>
                  <w:vAlign w:val="center"/>
                </w:tcPr>
                <w:p>
                  <w:pPr>
                    <w:adjustRightInd w:val="0"/>
                    <w:snapToGrid w:val="0"/>
                    <w:jc w:val="center"/>
                    <w:rPr>
                      <w:color w:val="auto"/>
                      <w:szCs w:val="21"/>
                    </w:rPr>
                  </w:pPr>
                  <w:r>
                    <w:rPr>
                      <w:rFonts w:hint="eastAsia"/>
                      <w:color w:val="auto"/>
                      <w:szCs w:val="21"/>
                    </w:rPr>
                    <w:t>0.39-2.75</w:t>
                  </w:r>
                </w:p>
              </w:tc>
              <w:tc>
                <w:tcPr>
                  <w:tcW w:w="1275" w:type="dxa"/>
                  <w:vAlign w:val="center"/>
                </w:tcPr>
                <w:p>
                  <w:pPr>
                    <w:adjustRightInd w:val="0"/>
                    <w:snapToGrid w:val="0"/>
                    <w:jc w:val="center"/>
                    <w:rPr>
                      <w:color w:val="auto"/>
                      <w:szCs w:val="21"/>
                    </w:rPr>
                  </w:pPr>
                  <w:r>
                    <w:rPr>
                      <w:rFonts w:hint="eastAsia"/>
                      <w:color w:val="auto"/>
                      <w:szCs w:val="21"/>
                    </w:rPr>
                    <w:t>6-8</w:t>
                  </w:r>
                </w:p>
              </w:tc>
              <w:tc>
                <w:tcPr>
                  <w:tcW w:w="1400" w:type="dxa"/>
                  <w:vAlign w:val="center"/>
                </w:tcPr>
                <w:p>
                  <w:pPr>
                    <w:adjustRightInd w:val="0"/>
                    <w:snapToGrid w:val="0"/>
                    <w:jc w:val="center"/>
                    <w:rPr>
                      <w:color w:val="auto"/>
                    </w:rPr>
                  </w:pPr>
                  <w:r>
                    <w:rPr>
                      <w:rFonts w:hint="eastAsia"/>
                      <w:color w:val="auto"/>
                    </w:rPr>
                    <w:t>/</w:t>
                  </w:r>
                </w:p>
              </w:tc>
              <w:tc>
                <w:tcPr>
                  <w:tcW w:w="2012" w:type="dxa"/>
                  <w:vAlign w:val="center"/>
                </w:tcPr>
                <w:p>
                  <w:pPr>
                    <w:adjustRightInd w:val="0"/>
                    <w:snapToGrid w:val="0"/>
                    <w:jc w:val="center"/>
                    <w:rPr>
                      <w:color w:val="auto"/>
                    </w:rPr>
                  </w:pPr>
                  <w:r>
                    <w:rPr>
                      <w:rFonts w:hint="eastAsia"/>
                      <w:color w:val="auto"/>
                    </w:rPr>
                    <w:t>2023年10月整月</w:t>
                  </w:r>
                </w:p>
              </w:tc>
              <w:tc>
                <w:tcPr>
                  <w:tcW w:w="636" w:type="dxa"/>
                  <w:vAlign w:val="center"/>
                </w:tcPr>
                <w:p>
                  <w:pPr>
                    <w:adjustRightInd w:val="0"/>
                    <w:snapToGrid w:val="0"/>
                    <w:jc w:val="center"/>
                    <w:rPr>
                      <w:color w:val="auto"/>
                    </w:rPr>
                  </w:pPr>
                  <w:r>
                    <w:rPr>
                      <w:rFonts w:hint="eastAsia"/>
                      <w:color w:val="auto"/>
                    </w:rPr>
                    <w:t>100%</w:t>
                  </w:r>
                </w:p>
              </w:tc>
            </w:tr>
          </w:tbl>
          <w:p>
            <w:pPr>
              <w:spacing w:line="360" w:lineRule="auto"/>
              <w:ind w:firstLine="480"/>
              <w:rPr>
                <w:rFonts w:hint="default" w:eastAsia="宋体"/>
                <w:color w:val="auto"/>
                <w:sz w:val="24"/>
                <w:lang w:val="en-US" w:eastAsia="zh-CN"/>
              </w:rPr>
            </w:pPr>
            <w:r>
              <w:rPr>
                <w:rFonts w:hint="eastAsia"/>
                <w:color w:val="auto"/>
                <w:sz w:val="24"/>
              </w:rPr>
              <w:t>⑷</w:t>
            </w:r>
            <w:r>
              <w:rPr>
                <w:rFonts w:hint="eastAsia"/>
                <w:color w:val="auto"/>
                <w:sz w:val="24"/>
                <w:lang w:val="en-US" w:eastAsia="zh-CN"/>
              </w:rPr>
              <w:t>回注层位分析</w:t>
            </w:r>
          </w:p>
          <w:p>
            <w:pPr>
              <w:spacing w:line="360" w:lineRule="auto"/>
              <w:ind w:firstLine="480"/>
              <w:rPr>
                <w:color w:val="auto"/>
                <w:sz w:val="24"/>
              </w:rPr>
            </w:pPr>
            <w:r>
              <w:rPr>
                <w:rFonts w:hint="eastAsia"/>
                <w:color w:val="auto"/>
                <w:sz w:val="24"/>
              </w:rPr>
              <w:t>定边采油厂回注水站较多，现回注层主要为延6、延9、长4+5、长6、长8层等，各储层空气渗透率不同。</w:t>
            </w:r>
            <w:r>
              <w:rPr>
                <w:rFonts w:hint="eastAsia"/>
                <w:bCs/>
                <w:snapToGrid w:val="0"/>
                <w:color w:val="auto"/>
                <w:kern w:val="0"/>
                <w:sz w:val="24"/>
              </w:rPr>
              <w:t>由于本项目不包括回注水站及管道等相关内</w:t>
            </w:r>
            <w:r>
              <w:rPr>
                <w:rFonts w:hint="eastAsia"/>
                <w:color w:val="auto"/>
                <w:sz w:val="24"/>
              </w:rPr>
              <w:t>容，且暂时无法确定具体回注层位，故待项目后续最终确定回注水站后按照相对应的回注层空气渗透率执行具体水质标准，虽然目前无法确定最终回注层，但本项目水处理工艺较先进，出水水质可满足《碎屑岩油藏注水水质指标技术要求及分析方法</w:t>
            </w:r>
            <w:r>
              <w:rPr>
                <w:rFonts w:hint="eastAsia"/>
                <w:bCs/>
                <w:color w:val="auto"/>
                <w:sz w:val="24"/>
              </w:rPr>
              <w:t>》（SY/T5329-2022）中表1中最严格的</w:t>
            </w:r>
            <w:r>
              <w:rPr>
                <w:bCs/>
                <w:color w:val="auto"/>
                <w:sz w:val="24"/>
              </w:rPr>
              <w:t>I</w:t>
            </w:r>
            <w:r>
              <w:rPr>
                <w:rFonts w:hint="eastAsia"/>
                <w:bCs/>
                <w:color w:val="auto"/>
                <w:sz w:val="24"/>
              </w:rPr>
              <w:t>类</w:t>
            </w:r>
            <w:r>
              <w:rPr>
                <w:rFonts w:hint="eastAsia"/>
                <w:color w:val="auto"/>
                <w:sz w:val="24"/>
              </w:rPr>
              <w:t>水质要求。</w:t>
            </w:r>
          </w:p>
          <w:p>
            <w:pPr>
              <w:spacing w:line="360" w:lineRule="auto"/>
              <w:ind w:firstLine="480"/>
              <w:rPr>
                <w:color w:val="auto"/>
                <w:sz w:val="24"/>
              </w:rPr>
            </w:pPr>
            <w:r>
              <w:rPr>
                <w:rFonts w:hint="eastAsia"/>
                <w:color w:val="auto"/>
                <w:sz w:val="24"/>
              </w:rPr>
              <w:t>综上所述，本项目所选工艺较成熟，处理效率</w:t>
            </w:r>
            <w:r>
              <w:rPr>
                <w:rFonts w:hint="eastAsia"/>
                <w:color w:val="auto"/>
                <w:sz w:val="24"/>
                <w:lang w:val="en-US" w:eastAsia="zh-CN"/>
              </w:rPr>
              <w:t>及稳定性</w:t>
            </w:r>
            <w:r>
              <w:rPr>
                <w:rFonts w:hint="eastAsia"/>
                <w:color w:val="auto"/>
                <w:sz w:val="24"/>
              </w:rPr>
              <w:t>较高，同类项目出水水质较好，工艺可行性较高。</w:t>
            </w:r>
          </w:p>
          <w:p>
            <w:pPr>
              <w:pStyle w:val="91"/>
              <w:spacing w:line="360" w:lineRule="auto"/>
              <w:ind w:firstLine="495" w:firstLineChars="0"/>
              <w:rPr>
                <w:rFonts w:hAnsi="Times New Roman"/>
                <w:color w:val="auto"/>
                <w:sz w:val="24"/>
              </w:rPr>
            </w:pPr>
            <w:r>
              <w:rPr>
                <w:rFonts w:hint="eastAsia" w:hAnsi="Times New Roman"/>
                <w:b/>
                <w:bCs/>
                <w:color w:val="auto"/>
                <w:kern w:val="0"/>
                <w:sz w:val="24"/>
              </w:rPr>
              <w:t>6</w:t>
            </w:r>
            <w:r>
              <w:rPr>
                <w:rFonts w:hAnsi="Times New Roman"/>
                <w:b/>
                <w:bCs/>
                <w:color w:val="auto"/>
                <w:kern w:val="0"/>
                <w:sz w:val="24"/>
              </w:rPr>
              <w:t>、给排水</w:t>
            </w:r>
          </w:p>
          <w:p>
            <w:pPr>
              <w:pStyle w:val="91"/>
              <w:spacing w:line="360" w:lineRule="auto"/>
              <w:ind w:firstLine="480" w:firstLineChars="0"/>
              <w:rPr>
                <w:rFonts w:hAnsi="Times New Roman"/>
                <w:color w:val="auto"/>
                <w:kern w:val="0"/>
                <w:sz w:val="24"/>
              </w:rPr>
            </w:pPr>
            <w:r>
              <w:rPr>
                <w:rFonts w:hint="eastAsia" w:hAnsi="Times New Roman"/>
                <w:color w:val="auto"/>
                <w:kern w:val="0"/>
                <w:sz w:val="24"/>
              </w:rPr>
              <w:t>⑴ 给水</w:t>
            </w:r>
          </w:p>
          <w:p>
            <w:pPr>
              <w:pStyle w:val="91"/>
              <w:spacing w:line="360" w:lineRule="auto"/>
              <w:ind w:firstLine="480" w:firstLineChars="0"/>
              <w:rPr>
                <w:rFonts w:hAnsi="Times New Roman"/>
                <w:color w:val="auto"/>
                <w:sz w:val="24"/>
              </w:rPr>
            </w:pPr>
            <w:r>
              <w:rPr>
                <w:rFonts w:hint="eastAsia" w:hAnsi="Times New Roman"/>
                <w:color w:val="auto"/>
                <w:kern w:val="0"/>
                <w:sz w:val="24"/>
              </w:rPr>
              <w:t>项目生活用水由罐车拉运至本厂。生产用水包括</w:t>
            </w:r>
            <w:r>
              <w:rPr>
                <w:rFonts w:hint="eastAsia" w:hAnsi="Times New Roman"/>
                <w:color w:val="auto"/>
                <w:sz w:val="24"/>
              </w:rPr>
              <w:t>配药剂用水和反冲洗用水，</w:t>
            </w:r>
            <w:r>
              <w:rPr>
                <w:rFonts w:hint="eastAsia" w:hAnsi="Times New Roman"/>
                <w:color w:val="auto"/>
                <w:kern w:val="0"/>
                <w:sz w:val="24"/>
              </w:rPr>
              <w:t>生产用水</w:t>
            </w:r>
            <w:r>
              <w:rPr>
                <w:rFonts w:hint="eastAsia" w:hAnsi="Times New Roman"/>
                <w:color w:val="auto"/>
                <w:sz w:val="24"/>
              </w:rPr>
              <w:t>均使用本项目处理后水</w:t>
            </w:r>
            <w:r>
              <w:rPr>
                <w:rFonts w:hint="eastAsia" w:hAnsi="Times New Roman"/>
                <w:color w:val="auto"/>
                <w:kern w:val="0"/>
                <w:sz w:val="24"/>
              </w:rPr>
              <w:t>。根据设备厂家提供运行期数据，</w:t>
            </w:r>
            <w:r>
              <w:rPr>
                <w:rFonts w:hint="eastAsia" w:hAnsi="Times New Roman"/>
                <w:color w:val="auto"/>
                <w:sz w:val="24"/>
              </w:rPr>
              <w:t>本项目配药剂用水量为3m³/d，反冲洗水用水量为6m³/d，污泥带出水1.28m³/d。</w:t>
            </w:r>
          </w:p>
          <w:p>
            <w:pPr>
              <w:pStyle w:val="91"/>
              <w:spacing w:line="360" w:lineRule="auto"/>
              <w:ind w:firstLine="480" w:firstLineChars="0"/>
              <w:rPr>
                <w:rFonts w:hAnsi="Times New Roman"/>
                <w:color w:val="auto"/>
                <w:sz w:val="24"/>
              </w:rPr>
            </w:pPr>
            <w:r>
              <w:rPr>
                <w:rFonts w:hint="eastAsia" w:hAnsi="Times New Roman"/>
                <w:color w:val="auto"/>
                <w:sz w:val="24"/>
              </w:rPr>
              <w:t>⑵ 排水</w:t>
            </w:r>
          </w:p>
          <w:p>
            <w:pPr>
              <w:pStyle w:val="91"/>
              <w:spacing w:line="360" w:lineRule="auto"/>
              <w:ind w:firstLine="480" w:firstLineChars="0"/>
              <w:rPr>
                <w:rFonts w:hAnsi="Times New Roman"/>
                <w:color w:val="auto"/>
                <w:sz w:val="24"/>
              </w:rPr>
            </w:pPr>
            <w:r>
              <w:rPr>
                <w:rFonts w:hint="eastAsia" w:hAnsi="Times New Roman"/>
                <w:color w:val="auto"/>
                <w:sz w:val="24"/>
              </w:rPr>
              <w:t>现状产生的生活盥洗废水约为0.11m³/d，均降尘洒水后自然蒸发。</w:t>
            </w:r>
          </w:p>
          <w:p>
            <w:pPr>
              <w:pStyle w:val="91"/>
              <w:spacing w:line="360" w:lineRule="auto"/>
              <w:ind w:firstLine="495" w:firstLineChars="0"/>
              <w:rPr>
                <w:bCs/>
                <w:snapToGrid w:val="0"/>
                <w:color w:val="auto"/>
                <w:kern w:val="0"/>
                <w:sz w:val="24"/>
              </w:rPr>
            </w:pPr>
            <w:r>
              <w:rPr>
                <w:rFonts w:hint="eastAsia" w:hAnsi="Times New Roman"/>
                <w:color w:val="auto"/>
                <w:sz w:val="24"/>
              </w:rPr>
              <w:t>配药用水和反冲洗用水使用的为本项目处理后水，为项目内循环，无废水产生。</w:t>
            </w:r>
          </w:p>
          <w:p>
            <w:pPr>
              <w:spacing w:line="360" w:lineRule="auto"/>
              <w:ind w:firstLine="480" w:firstLineChars="200"/>
              <w:rPr>
                <w:color w:val="auto"/>
                <w:sz w:val="24"/>
              </w:rPr>
            </w:pPr>
            <w:r>
              <w:rPr>
                <w:rFonts w:hint="eastAsia"/>
                <w:color w:val="auto"/>
                <w:sz w:val="24"/>
              </w:rPr>
              <w:t>处理后出水全部送回注水站回注。项目水平衡见表2-1</w:t>
            </w:r>
            <w:r>
              <w:rPr>
                <w:rFonts w:hint="eastAsia"/>
                <w:color w:val="auto"/>
                <w:sz w:val="24"/>
                <w:lang w:val="en-US" w:eastAsia="zh-CN"/>
              </w:rPr>
              <w:t>4</w:t>
            </w:r>
            <w:r>
              <w:rPr>
                <w:rFonts w:hint="eastAsia"/>
                <w:color w:val="auto"/>
                <w:sz w:val="24"/>
              </w:rPr>
              <w:t>。</w:t>
            </w:r>
          </w:p>
          <w:p>
            <w:pPr>
              <w:pStyle w:val="80"/>
              <w:widowControl/>
              <w:spacing w:line="360" w:lineRule="auto"/>
              <w:ind w:left="0" w:firstLine="0" w:firstLineChars="0"/>
              <w:rPr>
                <w:rFonts w:ascii="Times New Roman" w:hAnsi="Times New Roman"/>
                <w:color w:val="auto"/>
                <w:szCs w:val="21"/>
              </w:rPr>
            </w:pPr>
            <w:r>
              <w:rPr>
                <w:rFonts w:ascii="Times New Roman" w:hAnsi="Times New Roman"/>
                <w:color w:val="auto"/>
                <w:szCs w:val="21"/>
              </w:rPr>
              <w:t>表</w:t>
            </w:r>
            <w:r>
              <w:rPr>
                <w:rFonts w:hint="eastAsia" w:ascii="Times New Roman" w:hAnsi="Times New Roman"/>
                <w:color w:val="auto"/>
                <w:szCs w:val="21"/>
              </w:rPr>
              <w:t>2-1</w:t>
            </w:r>
            <w:r>
              <w:rPr>
                <w:rFonts w:hint="eastAsia" w:ascii="Times New Roman" w:hAnsi="Times New Roman"/>
                <w:color w:val="auto"/>
                <w:szCs w:val="21"/>
                <w:lang w:val="en-US" w:eastAsia="zh-CN"/>
              </w:rPr>
              <w:t>4</w:t>
            </w:r>
            <w:r>
              <w:rPr>
                <w:rFonts w:hint="eastAsia" w:ascii="Times New Roman" w:hAnsi="Times New Roman"/>
                <w:color w:val="auto"/>
                <w:szCs w:val="21"/>
              </w:rPr>
              <w:t xml:space="preserve">  项目水平衡</w:t>
            </w:r>
            <w:r>
              <w:rPr>
                <w:rFonts w:ascii="Times New Roman" w:hAnsi="Times New Roman"/>
                <w:color w:val="auto"/>
                <w:szCs w:val="21"/>
              </w:rPr>
              <w:t>表</w:t>
            </w:r>
          </w:p>
          <w:tbl>
            <w:tblPr>
              <w:tblStyle w:val="34"/>
              <w:tblW w:w="81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7"/>
              <w:gridCol w:w="836"/>
              <w:gridCol w:w="1281"/>
              <w:gridCol w:w="1367"/>
              <w:gridCol w:w="1250"/>
              <w:gridCol w:w="933"/>
              <w:gridCol w:w="900"/>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557" w:type="dxa"/>
                  <w:vAlign w:val="center"/>
                </w:tcPr>
                <w:p>
                  <w:pPr>
                    <w:pStyle w:val="10"/>
                    <w:adjustRightInd w:val="0"/>
                    <w:spacing w:before="0" w:after="0" w:line="240" w:lineRule="exact"/>
                    <w:ind w:right="0"/>
                    <w:jc w:val="center"/>
                    <w:rPr>
                      <w:color w:val="auto"/>
                      <w:sz w:val="21"/>
                      <w:szCs w:val="21"/>
                      <w:lang w:val="zh-CN"/>
                    </w:rPr>
                  </w:pPr>
                  <w:r>
                    <w:rPr>
                      <w:color w:val="auto"/>
                      <w:sz w:val="21"/>
                      <w:szCs w:val="21"/>
                      <w:lang w:val="zh-CN"/>
                    </w:rPr>
                    <w:t>序号</w:t>
                  </w:r>
                </w:p>
              </w:tc>
              <w:tc>
                <w:tcPr>
                  <w:tcW w:w="836" w:type="dxa"/>
                  <w:vAlign w:val="center"/>
                </w:tcPr>
                <w:p>
                  <w:pPr>
                    <w:pStyle w:val="10"/>
                    <w:adjustRightInd w:val="0"/>
                    <w:spacing w:before="0" w:after="0" w:line="240" w:lineRule="exact"/>
                    <w:ind w:right="0"/>
                    <w:jc w:val="center"/>
                    <w:rPr>
                      <w:color w:val="auto"/>
                      <w:sz w:val="21"/>
                      <w:szCs w:val="21"/>
                      <w:lang w:val="zh-CN"/>
                    </w:rPr>
                  </w:pPr>
                  <w:r>
                    <w:rPr>
                      <w:color w:val="auto"/>
                      <w:sz w:val="21"/>
                      <w:szCs w:val="21"/>
                      <w:lang w:val="zh-CN"/>
                    </w:rPr>
                    <w:t>名称</w:t>
                  </w:r>
                </w:p>
              </w:tc>
              <w:tc>
                <w:tcPr>
                  <w:tcW w:w="1281" w:type="dxa"/>
                  <w:vAlign w:val="center"/>
                </w:tcPr>
                <w:p>
                  <w:pPr>
                    <w:pStyle w:val="10"/>
                    <w:adjustRightInd w:val="0"/>
                    <w:spacing w:before="0" w:after="0" w:line="240" w:lineRule="exact"/>
                    <w:ind w:right="0"/>
                    <w:jc w:val="center"/>
                    <w:rPr>
                      <w:color w:val="auto"/>
                      <w:sz w:val="21"/>
                      <w:szCs w:val="21"/>
                      <w:lang w:val="zh-CN"/>
                    </w:rPr>
                  </w:pPr>
                  <w:r>
                    <w:rPr>
                      <w:rFonts w:hint="eastAsia"/>
                      <w:color w:val="auto"/>
                      <w:sz w:val="21"/>
                      <w:szCs w:val="21"/>
                    </w:rPr>
                    <w:t>处理后水用量</w:t>
                  </w:r>
                  <w:r>
                    <w:rPr>
                      <w:color w:val="auto"/>
                      <w:sz w:val="21"/>
                      <w:szCs w:val="21"/>
                      <w:lang w:val="zh-CN"/>
                    </w:rPr>
                    <w:t>（</w:t>
                  </w:r>
                  <w:r>
                    <w:rPr>
                      <w:rFonts w:hint="eastAsia"/>
                      <w:color w:val="auto"/>
                      <w:sz w:val="24"/>
                    </w:rPr>
                    <w:t>m</w:t>
                  </w:r>
                  <w:r>
                    <w:rPr>
                      <w:rFonts w:hint="eastAsia"/>
                      <w:color w:val="auto"/>
                      <w:sz w:val="24"/>
                      <w:vertAlign w:val="superscript"/>
                    </w:rPr>
                    <w:t>3</w:t>
                  </w:r>
                  <w:r>
                    <w:rPr>
                      <w:color w:val="auto"/>
                      <w:sz w:val="21"/>
                      <w:szCs w:val="21"/>
                      <w:lang w:val="zh-CN"/>
                    </w:rPr>
                    <w:t>/d）</w:t>
                  </w:r>
                </w:p>
              </w:tc>
              <w:tc>
                <w:tcPr>
                  <w:tcW w:w="1367" w:type="dxa"/>
                  <w:vAlign w:val="center"/>
                </w:tcPr>
                <w:p>
                  <w:pPr>
                    <w:pStyle w:val="10"/>
                    <w:adjustRightInd w:val="0"/>
                    <w:spacing w:before="0" w:after="0" w:line="240" w:lineRule="exact"/>
                    <w:ind w:right="0"/>
                    <w:jc w:val="center"/>
                    <w:rPr>
                      <w:color w:val="auto"/>
                      <w:sz w:val="21"/>
                      <w:szCs w:val="21"/>
                      <w:lang w:val="zh-CN"/>
                    </w:rPr>
                  </w:pPr>
                  <w:r>
                    <w:rPr>
                      <w:color w:val="auto"/>
                      <w:sz w:val="21"/>
                      <w:szCs w:val="21"/>
                      <w:lang w:val="zh-CN"/>
                    </w:rPr>
                    <w:t>新鲜水用量（</w:t>
                  </w:r>
                  <w:r>
                    <w:rPr>
                      <w:rFonts w:hint="eastAsia"/>
                      <w:color w:val="auto"/>
                      <w:sz w:val="24"/>
                    </w:rPr>
                    <w:t>m</w:t>
                  </w:r>
                  <w:r>
                    <w:rPr>
                      <w:rFonts w:hint="eastAsia"/>
                      <w:color w:val="auto"/>
                      <w:sz w:val="24"/>
                      <w:vertAlign w:val="superscript"/>
                    </w:rPr>
                    <w:t>3</w:t>
                  </w:r>
                  <w:r>
                    <w:rPr>
                      <w:color w:val="auto"/>
                      <w:sz w:val="21"/>
                      <w:szCs w:val="21"/>
                      <w:lang w:val="zh-CN"/>
                    </w:rPr>
                    <w:t>/d）</w:t>
                  </w:r>
                </w:p>
              </w:tc>
              <w:tc>
                <w:tcPr>
                  <w:tcW w:w="1250" w:type="dxa"/>
                  <w:vAlign w:val="center"/>
                </w:tcPr>
                <w:p>
                  <w:pPr>
                    <w:pStyle w:val="10"/>
                    <w:adjustRightInd w:val="0"/>
                    <w:spacing w:before="0" w:after="0" w:line="240" w:lineRule="exact"/>
                    <w:ind w:right="0"/>
                    <w:jc w:val="center"/>
                    <w:rPr>
                      <w:color w:val="auto"/>
                      <w:sz w:val="21"/>
                      <w:szCs w:val="21"/>
                      <w:lang w:val="zh-CN"/>
                    </w:rPr>
                  </w:pPr>
                  <w:r>
                    <w:rPr>
                      <w:rFonts w:hint="eastAsia"/>
                      <w:color w:val="auto"/>
                      <w:sz w:val="21"/>
                      <w:szCs w:val="21"/>
                    </w:rPr>
                    <w:t>内</w:t>
                  </w:r>
                  <w:r>
                    <w:rPr>
                      <w:color w:val="auto"/>
                      <w:sz w:val="21"/>
                      <w:szCs w:val="21"/>
                      <w:lang w:val="zh-CN"/>
                    </w:rPr>
                    <w:t>循环水量（</w:t>
                  </w:r>
                  <w:r>
                    <w:rPr>
                      <w:rFonts w:hint="eastAsia"/>
                      <w:color w:val="auto"/>
                      <w:sz w:val="24"/>
                    </w:rPr>
                    <w:t>m</w:t>
                  </w:r>
                  <w:r>
                    <w:rPr>
                      <w:rFonts w:hint="eastAsia"/>
                      <w:color w:val="auto"/>
                      <w:sz w:val="24"/>
                      <w:vertAlign w:val="superscript"/>
                    </w:rPr>
                    <w:t>3</w:t>
                  </w:r>
                  <w:r>
                    <w:rPr>
                      <w:color w:val="auto"/>
                      <w:sz w:val="21"/>
                      <w:szCs w:val="21"/>
                      <w:lang w:val="zh-CN"/>
                    </w:rPr>
                    <w:t>/d）</w:t>
                  </w:r>
                </w:p>
              </w:tc>
              <w:tc>
                <w:tcPr>
                  <w:tcW w:w="933" w:type="dxa"/>
                  <w:vAlign w:val="center"/>
                </w:tcPr>
                <w:p>
                  <w:pPr>
                    <w:pStyle w:val="10"/>
                    <w:adjustRightInd w:val="0"/>
                    <w:spacing w:before="0" w:after="0" w:line="240" w:lineRule="exact"/>
                    <w:ind w:right="0"/>
                    <w:jc w:val="center"/>
                    <w:rPr>
                      <w:color w:val="auto"/>
                      <w:sz w:val="21"/>
                      <w:szCs w:val="21"/>
                      <w:lang w:val="zh-CN"/>
                    </w:rPr>
                  </w:pPr>
                  <w:r>
                    <w:rPr>
                      <w:color w:val="auto"/>
                      <w:sz w:val="21"/>
                      <w:szCs w:val="21"/>
                      <w:lang w:val="zh-CN"/>
                    </w:rPr>
                    <w:t>损耗量（</w:t>
                  </w:r>
                  <w:r>
                    <w:rPr>
                      <w:rFonts w:hint="eastAsia"/>
                      <w:color w:val="auto"/>
                      <w:sz w:val="24"/>
                    </w:rPr>
                    <w:t>m</w:t>
                  </w:r>
                  <w:r>
                    <w:rPr>
                      <w:rFonts w:hint="eastAsia"/>
                      <w:color w:val="auto"/>
                      <w:sz w:val="24"/>
                      <w:vertAlign w:val="superscript"/>
                    </w:rPr>
                    <w:t>3</w:t>
                  </w:r>
                  <w:r>
                    <w:rPr>
                      <w:color w:val="auto"/>
                      <w:sz w:val="21"/>
                      <w:szCs w:val="21"/>
                      <w:lang w:val="zh-CN"/>
                    </w:rPr>
                    <w:t>/d）</w:t>
                  </w:r>
                </w:p>
              </w:tc>
              <w:tc>
                <w:tcPr>
                  <w:tcW w:w="900" w:type="dxa"/>
                  <w:vAlign w:val="center"/>
                </w:tcPr>
                <w:p>
                  <w:pPr>
                    <w:pStyle w:val="10"/>
                    <w:adjustRightInd w:val="0"/>
                    <w:spacing w:before="0" w:after="0" w:line="240" w:lineRule="exact"/>
                    <w:ind w:right="0"/>
                    <w:jc w:val="center"/>
                    <w:rPr>
                      <w:color w:val="auto"/>
                      <w:sz w:val="21"/>
                      <w:szCs w:val="21"/>
                      <w:lang w:val="zh-CN"/>
                    </w:rPr>
                  </w:pPr>
                  <w:r>
                    <w:rPr>
                      <w:rFonts w:hint="eastAsia"/>
                      <w:color w:val="auto"/>
                      <w:sz w:val="21"/>
                      <w:szCs w:val="21"/>
                    </w:rPr>
                    <w:t>带出水</w:t>
                  </w:r>
                  <w:r>
                    <w:rPr>
                      <w:color w:val="auto"/>
                      <w:sz w:val="21"/>
                      <w:szCs w:val="21"/>
                      <w:lang w:val="zh-CN"/>
                    </w:rPr>
                    <w:t>（</w:t>
                  </w:r>
                  <w:r>
                    <w:rPr>
                      <w:rFonts w:hint="eastAsia"/>
                      <w:color w:val="auto"/>
                      <w:sz w:val="24"/>
                    </w:rPr>
                    <w:t>m</w:t>
                  </w:r>
                  <w:r>
                    <w:rPr>
                      <w:rFonts w:hint="eastAsia"/>
                      <w:color w:val="auto"/>
                      <w:sz w:val="24"/>
                      <w:vertAlign w:val="superscript"/>
                    </w:rPr>
                    <w:t>3</w:t>
                  </w:r>
                  <w:r>
                    <w:rPr>
                      <w:color w:val="auto"/>
                      <w:sz w:val="21"/>
                      <w:szCs w:val="21"/>
                      <w:lang w:val="zh-CN"/>
                    </w:rPr>
                    <w:t>/d）</w:t>
                  </w:r>
                </w:p>
              </w:tc>
              <w:tc>
                <w:tcPr>
                  <w:tcW w:w="993" w:type="dxa"/>
                  <w:vAlign w:val="center"/>
                </w:tcPr>
                <w:p>
                  <w:pPr>
                    <w:pStyle w:val="10"/>
                    <w:adjustRightInd w:val="0"/>
                    <w:spacing w:before="0" w:after="0" w:line="240" w:lineRule="exact"/>
                    <w:ind w:right="0"/>
                    <w:jc w:val="center"/>
                    <w:rPr>
                      <w:color w:val="auto"/>
                      <w:sz w:val="21"/>
                      <w:szCs w:val="21"/>
                      <w:lang w:val="zh-CN"/>
                    </w:rPr>
                  </w:pPr>
                  <w:r>
                    <w:rPr>
                      <w:color w:val="auto"/>
                      <w:sz w:val="21"/>
                      <w:szCs w:val="21"/>
                      <w:lang w:val="zh-CN"/>
                    </w:rPr>
                    <w:t>排水量（</w:t>
                  </w:r>
                  <w:r>
                    <w:rPr>
                      <w:rFonts w:hint="eastAsia"/>
                      <w:color w:val="auto"/>
                      <w:sz w:val="24"/>
                    </w:rPr>
                    <w:t>m</w:t>
                  </w:r>
                  <w:r>
                    <w:rPr>
                      <w:rFonts w:hint="eastAsia"/>
                      <w:color w:val="auto"/>
                      <w:sz w:val="24"/>
                      <w:vertAlign w:val="superscript"/>
                    </w:rPr>
                    <w:t>3</w:t>
                  </w:r>
                  <w:r>
                    <w:rPr>
                      <w:color w:val="auto"/>
                      <w:sz w:val="21"/>
                      <w:szCs w:val="21"/>
                      <w:lang w:val="zh-CN"/>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557" w:type="dxa"/>
                  <w:vAlign w:val="center"/>
                </w:tcPr>
                <w:p>
                  <w:pPr>
                    <w:pStyle w:val="10"/>
                    <w:adjustRightInd w:val="0"/>
                    <w:spacing w:before="0" w:after="0" w:line="240" w:lineRule="exact"/>
                    <w:ind w:right="0"/>
                    <w:jc w:val="center"/>
                    <w:rPr>
                      <w:color w:val="auto"/>
                      <w:sz w:val="21"/>
                      <w:szCs w:val="21"/>
                      <w:lang w:val="zh-CN"/>
                    </w:rPr>
                  </w:pPr>
                  <w:r>
                    <w:rPr>
                      <w:rFonts w:hint="eastAsia"/>
                      <w:color w:val="auto"/>
                      <w:sz w:val="21"/>
                      <w:szCs w:val="21"/>
                      <w:lang w:val="zh-CN"/>
                    </w:rPr>
                    <w:t>1</w:t>
                  </w:r>
                </w:p>
              </w:tc>
              <w:tc>
                <w:tcPr>
                  <w:tcW w:w="836" w:type="dxa"/>
                  <w:vAlign w:val="center"/>
                </w:tcPr>
                <w:p>
                  <w:pPr>
                    <w:pStyle w:val="10"/>
                    <w:adjustRightInd w:val="0"/>
                    <w:spacing w:before="0" w:after="0" w:line="240" w:lineRule="exact"/>
                    <w:ind w:right="0"/>
                    <w:jc w:val="center"/>
                    <w:rPr>
                      <w:color w:val="auto"/>
                      <w:sz w:val="21"/>
                      <w:szCs w:val="21"/>
                    </w:rPr>
                  </w:pPr>
                  <w:r>
                    <w:rPr>
                      <w:rFonts w:hint="eastAsia"/>
                      <w:color w:val="auto"/>
                      <w:sz w:val="21"/>
                      <w:szCs w:val="21"/>
                    </w:rPr>
                    <w:t>污水处理装置</w:t>
                  </w:r>
                </w:p>
              </w:tc>
              <w:tc>
                <w:tcPr>
                  <w:tcW w:w="1281" w:type="dxa"/>
                  <w:vAlign w:val="center"/>
                </w:tcPr>
                <w:p>
                  <w:pPr>
                    <w:pStyle w:val="10"/>
                    <w:adjustRightInd w:val="0"/>
                    <w:spacing w:before="0" w:after="0" w:line="240" w:lineRule="exact"/>
                    <w:ind w:right="0"/>
                    <w:jc w:val="center"/>
                    <w:rPr>
                      <w:color w:val="auto"/>
                      <w:sz w:val="21"/>
                      <w:szCs w:val="21"/>
                    </w:rPr>
                  </w:pPr>
                  <w:r>
                    <w:rPr>
                      <w:rFonts w:hint="eastAsia"/>
                      <w:color w:val="auto"/>
                      <w:sz w:val="21"/>
                      <w:szCs w:val="21"/>
                    </w:rPr>
                    <w:t>4.28</w:t>
                  </w:r>
                </w:p>
              </w:tc>
              <w:tc>
                <w:tcPr>
                  <w:tcW w:w="1367" w:type="dxa"/>
                  <w:vAlign w:val="center"/>
                </w:tcPr>
                <w:p>
                  <w:pPr>
                    <w:pStyle w:val="10"/>
                    <w:adjustRightInd w:val="0"/>
                    <w:spacing w:before="0" w:after="0" w:line="240" w:lineRule="exact"/>
                    <w:ind w:right="0"/>
                    <w:jc w:val="center"/>
                    <w:rPr>
                      <w:color w:val="auto"/>
                      <w:sz w:val="21"/>
                      <w:szCs w:val="21"/>
                      <w:lang w:val="zh-CN"/>
                    </w:rPr>
                  </w:pPr>
                  <w:r>
                    <w:rPr>
                      <w:rFonts w:hint="eastAsia"/>
                      <w:color w:val="auto"/>
                      <w:sz w:val="21"/>
                      <w:szCs w:val="21"/>
                    </w:rPr>
                    <w:t>0</w:t>
                  </w:r>
                </w:p>
              </w:tc>
              <w:tc>
                <w:tcPr>
                  <w:tcW w:w="1250" w:type="dxa"/>
                  <w:vAlign w:val="center"/>
                </w:tcPr>
                <w:p>
                  <w:pPr>
                    <w:pStyle w:val="10"/>
                    <w:adjustRightInd w:val="0"/>
                    <w:spacing w:before="0" w:after="0" w:line="240" w:lineRule="exact"/>
                    <w:ind w:right="0"/>
                    <w:jc w:val="center"/>
                    <w:rPr>
                      <w:color w:val="auto"/>
                      <w:sz w:val="21"/>
                      <w:szCs w:val="21"/>
                    </w:rPr>
                  </w:pPr>
                  <w:r>
                    <w:rPr>
                      <w:rFonts w:hint="eastAsia"/>
                      <w:color w:val="auto"/>
                      <w:sz w:val="21"/>
                      <w:szCs w:val="21"/>
                    </w:rPr>
                    <w:t>9</w:t>
                  </w:r>
                </w:p>
              </w:tc>
              <w:tc>
                <w:tcPr>
                  <w:tcW w:w="933" w:type="dxa"/>
                  <w:vAlign w:val="center"/>
                </w:tcPr>
                <w:p>
                  <w:pPr>
                    <w:pStyle w:val="10"/>
                    <w:adjustRightInd w:val="0"/>
                    <w:spacing w:before="0" w:after="0" w:line="240" w:lineRule="exact"/>
                    <w:ind w:right="0"/>
                    <w:jc w:val="center"/>
                    <w:rPr>
                      <w:color w:val="auto"/>
                      <w:sz w:val="21"/>
                      <w:szCs w:val="21"/>
                    </w:rPr>
                  </w:pPr>
                  <w:r>
                    <w:rPr>
                      <w:rFonts w:hint="eastAsia"/>
                      <w:color w:val="auto"/>
                      <w:sz w:val="21"/>
                      <w:szCs w:val="21"/>
                    </w:rPr>
                    <w:t>3</w:t>
                  </w:r>
                </w:p>
              </w:tc>
              <w:tc>
                <w:tcPr>
                  <w:tcW w:w="900" w:type="dxa"/>
                  <w:vAlign w:val="center"/>
                </w:tcPr>
                <w:p>
                  <w:pPr>
                    <w:pStyle w:val="10"/>
                    <w:adjustRightInd w:val="0"/>
                    <w:spacing w:before="0" w:after="0" w:line="240" w:lineRule="exact"/>
                    <w:ind w:right="0"/>
                    <w:jc w:val="center"/>
                    <w:rPr>
                      <w:color w:val="auto"/>
                      <w:sz w:val="21"/>
                      <w:szCs w:val="21"/>
                    </w:rPr>
                  </w:pPr>
                  <w:r>
                    <w:rPr>
                      <w:rFonts w:hint="eastAsia"/>
                      <w:color w:val="auto"/>
                      <w:sz w:val="21"/>
                      <w:szCs w:val="21"/>
                    </w:rPr>
                    <w:t>1.28</w:t>
                  </w:r>
                </w:p>
              </w:tc>
              <w:tc>
                <w:tcPr>
                  <w:tcW w:w="993" w:type="dxa"/>
                  <w:vAlign w:val="center"/>
                </w:tcPr>
                <w:p>
                  <w:pPr>
                    <w:pStyle w:val="10"/>
                    <w:adjustRightInd w:val="0"/>
                    <w:spacing w:before="0" w:after="0" w:line="240" w:lineRule="exact"/>
                    <w:ind w:right="0"/>
                    <w:jc w:val="center"/>
                    <w:rPr>
                      <w:color w:val="auto"/>
                      <w:sz w:val="21"/>
                      <w:szCs w:val="21"/>
                    </w:rPr>
                  </w:pPr>
                  <w:r>
                    <w:rPr>
                      <w:rFonts w:hint="eastAsia"/>
                      <w:color w:val="auto"/>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jc w:val="center"/>
              </w:trPr>
              <w:tc>
                <w:tcPr>
                  <w:tcW w:w="557" w:type="dxa"/>
                  <w:vAlign w:val="center"/>
                </w:tcPr>
                <w:p>
                  <w:pPr>
                    <w:pStyle w:val="10"/>
                    <w:adjustRightInd w:val="0"/>
                    <w:spacing w:before="0" w:after="0" w:line="240" w:lineRule="exact"/>
                    <w:ind w:right="0"/>
                    <w:jc w:val="center"/>
                    <w:rPr>
                      <w:color w:val="auto"/>
                      <w:sz w:val="21"/>
                      <w:szCs w:val="21"/>
                      <w:lang w:val="zh-CN"/>
                    </w:rPr>
                  </w:pPr>
                  <w:r>
                    <w:rPr>
                      <w:rFonts w:hint="eastAsia"/>
                      <w:color w:val="auto"/>
                      <w:sz w:val="21"/>
                      <w:szCs w:val="21"/>
                      <w:lang w:val="zh-CN"/>
                    </w:rPr>
                    <w:t>2</w:t>
                  </w:r>
                </w:p>
              </w:tc>
              <w:tc>
                <w:tcPr>
                  <w:tcW w:w="836" w:type="dxa"/>
                  <w:vAlign w:val="center"/>
                </w:tcPr>
                <w:p>
                  <w:pPr>
                    <w:pStyle w:val="10"/>
                    <w:adjustRightInd w:val="0"/>
                    <w:spacing w:before="0" w:after="0" w:line="240" w:lineRule="exact"/>
                    <w:ind w:right="0"/>
                    <w:jc w:val="center"/>
                    <w:rPr>
                      <w:color w:val="auto"/>
                      <w:sz w:val="21"/>
                      <w:szCs w:val="21"/>
                    </w:rPr>
                  </w:pPr>
                  <w:r>
                    <w:rPr>
                      <w:rFonts w:hint="eastAsia"/>
                      <w:color w:val="auto"/>
                      <w:sz w:val="21"/>
                      <w:szCs w:val="21"/>
                      <w:lang w:val="zh-CN"/>
                    </w:rPr>
                    <w:t>生活用水</w:t>
                  </w:r>
                </w:p>
              </w:tc>
              <w:tc>
                <w:tcPr>
                  <w:tcW w:w="1281" w:type="dxa"/>
                  <w:vAlign w:val="center"/>
                </w:tcPr>
                <w:p>
                  <w:pPr>
                    <w:pStyle w:val="10"/>
                    <w:adjustRightInd w:val="0"/>
                    <w:spacing w:before="0" w:after="0" w:line="240" w:lineRule="exact"/>
                    <w:ind w:right="0"/>
                    <w:jc w:val="center"/>
                    <w:rPr>
                      <w:color w:val="auto"/>
                      <w:sz w:val="21"/>
                      <w:szCs w:val="21"/>
                      <w:lang w:val="zh-CN"/>
                    </w:rPr>
                  </w:pPr>
                  <w:r>
                    <w:rPr>
                      <w:rFonts w:hint="eastAsia"/>
                      <w:color w:val="auto"/>
                      <w:sz w:val="21"/>
                      <w:szCs w:val="21"/>
                    </w:rPr>
                    <w:t>0</w:t>
                  </w:r>
                </w:p>
              </w:tc>
              <w:tc>
                <w:tcPr>
                  <w:tcW w:w="1367" w:type="dxa"/>
                  <w:vAlign w:val="center"/>
                </w:tcPr>
                <w:p>
                  <w:pPr>
                    <w:pStyle w:val="10"/>
                    <w:adjustRightInd w:val="0"/>
                    <w:spacing w:before="0" w:after="0" w:line="240" w:lineRule="exact"/>
                    <w:ind w:right="0"/>
                    <w:jc w:val="center"/>
                    <w:rPr>
                      <w:color w:val="auto"/>
                      <w:sz w:val="21"/>
                      <w:szCs w:val="21"/>
                    </w:rPr>
                  </w:pPr>
                  <w:r>
                    <w:rPr>
                      <w:color w:val="auto"/>
                      <w:sz w:val="21"/>
                      <w:szCs w:val="21"/>
                    </w:rPr>
                    <w:t>0.</w:t>
                  </w:r>
                  <w:r>
                    <w:rPr>
                      <w:rFonts w:hint="eastAsia"/>
                      <w:color w:val="auto"/>
                      <w:sz w:val="21"/>
                      <w:szCs w:val="21"/>
                    </w:rPr>
                    <w:t>11</w:t>
                  </w:r>
                </w:p>
              </w:tc>
              <w:tc>
                <w:tcPr>
                  <w:tcW w:w="1250" w:type="dxa"/>
                  <w:vAlign w:val="center"/>
                </w:tcPr>
                <w:p>
                  <w:pPr>
                    <w:pStyle w:val="10"/>
                    <w:adjustRightInd w:val="0"/>
                    <w:spacing w:before="0" w:after="0" w:line="240" w:lineRule="exact"/>
                    <w:ind w:right="0"/>
                    <w:jc w:val="center"/>
                    <w:rPr>
                      <w:color w:val="auto"/>
                      <w:sz w:val="21"/>
                      <w:szCs w:val="21"/>
                      <w:lang w:val="zh-CN"/>
                    </w:rPr>
                  </w:pPr>
                  <w:r>
                    <w:rPr>
                      <w:rFonts w:hint="eastAsia"/>
                      <w:color w:val="auto"/>
                      <w:sz w:val="21"/>
                      <w:szCs w:val="21"/>
                    </w:rPr>
                    <w:t>0</w:t>
                  </w:r>
                </w:p>
              </w:tc>
              <w:tc>
                <w:tcPr>
                  <w:tcW w:w="933" w:type="dxa"/>
                  <w:vAlign w:val="center"/>
                </w:tcPr>
                <w:p>
                  <w:pPr>
                    <w:pStyle w:val="10"/>
                    <w:adjustRightInd w:val="0"/>
                    <w:spacing w:before="0" w:after="0" w:line="240" w:lineRule="exact"/>
                    <w:ind w:right="0"/>
                    <w:jc w:val="center"/>
                    <w:rPr>
                      <w:color w:val="auto"/>
                      <w:sz w:val="21"/>
                      <w:szCs w:val="21"/>
                      <w:lang w:val="zh-CN"/>
                    </w:rPr>
                  </w:pPr>
                  <w:r>
                    <w:rPr>
                      <w:rFonts w:hint="eastAsia"/>
                      <w:color w:val="auto"/>
                      <w:sz w:val="21"/>
                      <w:szCs w:val="21"/>
                    </w:rPr>
                    <w:t>0.11</w:t>
                  </w:r>
                </w:p>
              </w:tc>
              <w:tc>
                <w:tcPr>
                  <w:tcW w:w="900" w:type="dxa"/>
                  <w:vAlign w:val="center"/>
                </w:tcPr>
                <w:p>
                  <w:pPr>
                    <w:pStyle w:val="10"/>
                    <w:adjustRightInd w:val="0"/>
                    <w:spacing w:before="0" w:after="0" w:line="240" w:lineRule="exact"/>
                    <w:ind w:right="0"/>
                    <w:jc w:val="center"/>
                    <w:rPr>
                      <w:color w:val="auto"/>
                      <w:sz w:val="21"/>
                      <w:szCs w:val="21"/>
                    </w:rPr>
                  </w:pPr>
                  <w:r>
                    <w:rPr>
                      <w:rFonts w:hint="eastAsia"/>
                      <w:color w:val="auto"/>
                      <w:sz w:val="21"/>
                      <w:szCs w:val="21"/>
                    </w:rPr>
                    <w:t>0</w:t>
                  </w:r>
                </w:p>
              </w:tc>
              <w:tc>
                <w:tcPr>
                  <w:tcW w:w="993" w:type="dxa"/>
                  <w:vAlign w:val="center"/>
                </w:tcPr>
                <w:p>
                  <w:pPr>
                    <w:pStyle w:val="10"/>
                    <w:adjustRightInd w:val="0"/>
                    <w:spacing w:before="0" w:after="0" w:line="240" w:lineRule="exact"/>
                    <w:ind w:right="0"/>
                    <w:jc w:val="center"/>
                    <w:rPr>
                      <w:color w:val="auto"/>
                      <w:sz w:val="21"/>
                      <w:szCs w:val="21"/>
                    </w:rPr>
                  </w:pPr>
                  <w:r>
                    <w:rPr>
                      <w:rFonts w:hint="eastAsia"/>
                      <w:color w:val="auto"/>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1393" w:type="dxa"/>
                  <w:gridSpan w:val="2"/>
                  <w:vAlign w:val="center"/>
                </w:tcPr>
                <w:p>
                  <w:pPr>
                    <w:pStyle w:val="10"/>
                    <w:adjustRightInd w:val="0"/>
                    <w:spacing w:before="0" w:after="0" w:line="240" w:lineRule="exact"/>
                    <w:ind w:right="0"/>
                    <w:jc w:val="center"/>
                    <w:rPr>
                      <w:color w:val="auto"/>
                      <w:sz w:val="21"/>
                      <w:szCs w:val="21"/>
                      <w:lang w:val="zh-CN"/>
                    </w:rPr>
                  </w:pPr>
                  <w:r>
                    <w:rPr>
                      <w:color w:val="auto"/>
                      <w:sz w:val="21"/>
                      <w:szCs w:val="21"/>
                      <w:lang w:val="zh-CN"/>
                    </w:rPr>
                    <w:t>合计</w:t>
                  </w:r>
                </w:p>
              </w:tc>
              <w:tc>
                <w:tcPr>
                  <w:tcW w:w="1281" w:type="dxa"/>
                  <w:vAlign w:val="center"/>
                </w:tcPr>
                <w:p>
                  <w:pPr>
                    <w:pStyle w:val="10"/>
                    <w:adjustRightInd w:val="0"/>
                    <w:spacing w:before="0" w:after="0" w:line="240" w:lineRule="exact"/>
                    <w:ind w:right="0"/>
                    <w:jc w:val="center"/>
                    <w:rPr>
                      <w:color w:val="auto"/>
                      <w:sz w:val="21"/>
                      <w:szCs w:val="21"/>
                    </w:rPr>
                  </w:pPr>
                  <w:r>
                    <w:rPr>
                      <w:rFonts w:hint="eastAsia"/>
                      <w:color w:val="auto"/>
                      <w:sz w:val="21"/>
                      <w:szCs w:val="21"/>
                    </w:rPr>
                    <w:t>4.28</w:t>
                  </w:r>
                </w:p>
              </w:tc>
              <w:tc>
                <w:tcPr>
                  <w:tcW w:w="1367" w:type="dxa"/>
                  <w:vAlign w:val="center"/>
                </w:tcPr>
                <w:p>
                  <w:pPr>
                    <w:pStyle w:val="10"/>
                    <w:adjustRightInd w:val="0"/>
                    <w:spacing w:before="0" w:after="0" w:line="240" w:lineRule="exact"/>
                    <w:ind w:right="0"/>
                    <w:jc w:val="center"/>
                    <w:rPr>
                      <w:color w:val="auto"/>
                      <w:sz w:val="21"/>
                      <w:szCs w:val="21"/>
                    </w:rPr>
                  </w:pPr>
                  <w:r>
                    <w:rPr>
                      <w:rFonts w:hint="eastAsia"/>
                      <w:color w:val="auto"/>
                      <w:sz w:val="21"/>
                      <w:szCs w:val="21"/>
                    </w:rPr>
                    <w:t>0.11</w:t>
                  </w:r>
                </w:p>
              </w:tc>
              <w:tc>
                <w:tcPr>
                  <w:tcW w:w="1250" w:type="dxa"/>
                  <w:vAlign w:val="center"/>
                </w:tcPr>
                <w:p>
                  <w:pPr>
                    <w:pStyle w:val="10"/>
                    <w:adjustRightInd w:val="0"/>
                    <w:spacing w:before="0" w:after="0" w:line="240" w:lineRule="exact"/>
                    <w:ind w:right="0"/>
                    <w:jc w:val="center"/>
                    <w:rPr>
                      <w:color w:val="auto"/>
                      <w:sz w:val="21"/>
                      <w:szCs w:val="21"/>
                      <w:lang w:val="zh-CN"/>
                    </w:rPr>
                  </w:pPr>
                  <w:r>
                    <w:rPr>
                      <w:rFonts w:hint="eastAsia"/>
                      <w:color w:val="auto"/>
                      <w:sz w:val="21"/>
                      <w:szCs w:val="21"/>
                    </w:rPr>
                    <w:t>9</w:t>
                  </w:r>
                </w:p>
              </w:tc>
              <w:tc>
                <w:tcPr>
                  <w:tcW w:w="933" w:type="dxa"/>
                  <w:vAlign w:val="center"/>
                </w:tcPr>
                <w:p>
                  <w:pPr>
                    <w:pStyle w:val="10"/>
                    <w:adjustRightInd w:val="0"/>
                    <w:spacing w:before="0" w:after="0" w:line="240" w:lineRule="exact"/>
                    <w:ind w:right="0"/>
                    <w:jc w:val="center"/>
                    <w:rPr>
                      <w:color w:val="auto"/>
                      <w:sz w:val="21"/>
                      <w:szCs w:val="21"/>
                    </w:rPr>
                  </w:pPr>
                  <w:r>
                    <w:rPr>
                      <w:rFonts w:hint="eastAsia"/>
                      <w:color w:val="auto"/>
                      <w:sz w:val="21"/>
                      <w:szCs w:val="21"/>
                    </w:rPr>
                    <w:t>3.11</w:t>
                  </w:r>
                </w:p>
              </w:tc>
              <w:tc>
                <w:tcPr>
                  <w:tcW w:w="900" w:type="dxa"/>
                  <w:vAlign w:val="center"/>
                </w:tcPr>
                <w:p>
                  <w:pPr>
                    <w:pStyle w:val="10"/>
                    <w:adjustRightInd w:val="0"/>
                    <w:spacing w:before="0" w:after="0" w:line="240" w:lineRule="exact"/>
                    <w:ind w:right="0"/>
                    <w:jc w:val="center"/>
                    <w:rPr>
                      <w:color w:val="auto"/>
                      <w:sz w:val="21"/>
                      <w:szCs w:val="21"/>
                    </w:rPr>
                  </w:pPr>
                  <w:r>
                    <w:rPr>
                      <w:rFonts w:hint="eastAsia"/>
                      <w:color w:val="auto"/>
                      <w:sz w:val="21"/>
                      <w:szCs w:val="21"/>
                    </w:rPr>
                    <w:t>1.28</w:t>
                  </w:r>
                </w:p>
              </w:tc>
              <w:tc>
                <w:tcPr>
                  <w:tcW w:w="993" w:type="dxa"/>
                  <w:vAlign w:val="center"/>
                </w:tcPr>
                <w:p>
                  <w:pPr>
                    <w:pStyle w:val="10"/>
                    <w:adjustRightInd w:val="0"/>
                    <w:spacing w:before="0" w:after="0" w:line="240" w:lineRule="exact"/>
                    <w:ind w:right="0"/>
                    <w:jc w:val="center"/>
                    <w:rPr>
                      <w:color w:val="auto"/>
                      <w:sz w:val="21"/>
                      <w:szCs w:val="21"/>
                    </w:rPr>
                  </w:pPr>
                  <w:r>
                    <w:rPr>
                      <w:rFonts w:hint="eastAsia"/>
                      <w:color w:val="auto"/>
                      <w:sz w:val="21"/>
                      <w:szCs w:val="21"/>
                    </w:rPr>
                    <w:t>0</w:t>
                  </w:r>
                </w:p>
              </w:tc>
            </w:tr>
          </w:tbl>
          <w:p>
            <w:pPr>
              <w:pStyle w:val="91"/>
              <w:spacing w:line="360" w:lineRule="auto"/>
              <w:ind w:firstLine="480" w:firstLineChars="0"/>
              <w:rPr>
                <w:rFonts w:hAnsi="Times New Roman"/>
                <w:color w:val="auto"/>
                <w:kern w:val="0"/>
                <w:sz w:val="24"/>
              </w:rPr>
            </w:pPr>
            <w:r>
              <w:rPr>
                <w:rFonts w:hint="eastAsia" w:hAnsi="Times New Roman"/>
                <w:color w:val="auto"/>
                <w:kern w:val="0"/>
                <w:sz w:val="24"/>
              </w:rPr>
              <w:t>本项目水平衡图见图2-1。</w:t>
            </w:r>
          </w:p>
          <w:p>
            <w:pPr>
              <w:jc w:val="center"/>
              <w:rPr>
                <w:rFonts w:eastAsia="黑体"/>
                <w:color w:val="auto"/>
                <w:szCs w:val="21"/>
              </w:rPr>
            </w:pPr>
            <w:r>
              <w:rPr>
                <w:rFonts w:eastAsia="黑体"/>
                <w:color w:val="auto"/>
                <w:szCs w:val="21"/>
              </w:rPr>
              <w:object>
                <v:shape id="_x0000_i1025" o:spt="75" type="#_x0000_t75" style="height:210.75pt;width:411.75pt;" o:ole="t" filled="f" o:preferrelative="t" stroked="f" coordsize="21600,21600">
                  <v:path/>
                  <v:fill on="f" focussize="0,0"/>
                  <v:stroke on="f" joinstyle="miter"/>
                  <v:imagedata r:id="rId15" o:title=""/>
                  <o:lock v:ext="edit" aspectratio="f"/>
                  <w10:wrap type="none"/>
                  <w10:anchorlock/>
                </v:shape>
                <o:OLEObject Type="Embed" ProgID="Visio.Drawing.11" ShapeID="_x0000_i1025" DrawAspect="Content" ObjectID="_1468075725" r:id="rId14">
                  <o:LockedField>false</o:LockedField>
                </o:OLEObject>
              </w:object>
            </w:r>
            <w:r>
              <w:rPr>
                <w:rFonts w:eastAsia="黑体"/>
                <w:color w:val="auto"/>
                <w:szCs w:val="21"/>
              </w:rPr>
              <w:t>图</w:t>
            </w:r>
            <w:r>
              <w:rPr>
                <w:rFonts w:hint="eastAsia" w:eastAsia="黑体"/>
                <w:color w:val="auto"/>
                <w:szCs w:val="21"/>
              </w:rPr>
              <w:t xml:space="preserve">2-1 </w:t>
            </w:r>
            <w:r>
              <w:rPr>
                <w:rFonts w:eastAsia="黑体"/>
                <w:color w:val="auto"/>
                <w:szCs w:val="21"/>
              </w:rPr>
              <w:t xml:space="preserve"> </w:t>
            </w:r>
            <w:r>
              <w:rPr>
                <w:rFonts w:hint="eastAsia" w:eastAsia="黑体"/>
                <w:color w:val="auto"/>
                <w:szCs w:val="21"/>
              </w:rPr>
              <w:t>本</w:t>
            </w:r>
            <w:r>
              <w:rPr>
                <w:rFonts w:eastAsia="黑体"/>
                <w:color w:val="auto"/>
                <w:szCs w:val="21"/>
              </w:rPr>
              <w:t>项目水平衡图（m</w:t>
            </w:r>
            <w:r>
              <w:rPr>
                <w:rFonts w:eastAsia="黑体"/>
                <w:color w:val="auto"/>
                <w:szCs w:val="21"/>
                <w:vertAlign w:val="superscript"/>
              </w:rPr>
              <w:t>3</w:t>
            </w:r>
            <w:r>
              <w:rPr>
                <w:rFonts w:eastAsia="黑体"/>
                <w:color w:val="auto"/>
                <w:szCs w:val="21"/>
              </w:rPr>
              <w:t>/d）</w:t>
            </w:r>
          </w:p>
          <w:p>
            <w:pPr>
              <w:pStyle w:val="91"/>
              <w:spacing w:line="360" w:lineRule="auto"/>
              <w:ind w:firstLine="495" w:firstLineChars="0"/>
              <w:rPr>
                <w:rFonts w:hAnsi="Times New Roman"/>
                <w:b/>
                <w:bCs/>
                <w:color w:val="auto"/>
                <w:kern w:val="0"/>
                <w:sz w:val="24"/>
              </w:rPr>
            </w:pPr>
            <w:r>
              <w:rPr>
                <w:rFonts w:hint="eastAsia" w:hAnsi="Times New Roman"/>
                <w:b/>
                <w:bCs/>
                <w:color w:val="auto"/>
                <w:kern w:val="0"/>
                <w:sz w:val="24"/>
              </w:rPr>
              <w:t>7</w:t>
            </w:r>
            <w:r>
              <w:rPr>
                <w:rFonts w:hAnsi="Times New Roman"/>
                <w:b/>
                <w:bCs/>
                <w:color w:val="auto"/>
                <w:kern w:val="0"/>
                <w:sz w:val="24"/>
              </w:rPr>
              <w:t>、劳动定额及工作制度</w:t>
            </w:r>
          </w:p>
          <w:p>
            <w:pPr>
              <w:pStyle w:val="91"/>
              <w:spacing w:line="360" w:lineRule="auto"/>
              <w:ind w:firstLine="495" w:firstLineChars="0"/>
              <w:rPr>
                <w:rFonts w:hAnsi="Times New Roman"/>
                <w:color w:val="auto"/>
                <w:sz w:val="24"/>
              </w:rPr>
            </w:pPr>
            <w:r>
              <w:rPr>
                <w:rFonts w:hint="eastAsia" w:hAnsi="Times New Roman"/>
                <w:color w:val="auto"/>
                <w:sz w:val="24"/>
              </w:rPr>
              <w:t>本项目不新增劳动定员，依托各站内现有的人员进行管理，</w:t>
            </w:r>
            <w:r>
              <w:rPr>
                <w:rFonts w:hint="eastAsia" w:hAnsi="Times New Roman"/>
                <w:color w:val="auto"/>
                <w:sz w:val="24"/>
              </w:rPr>
              <w:t>2511站现有劳动定员2人，3270站10人，4926-4站5人</w:t>
            </w:r>
            <w:r>
              <w:rPr>
                <w:rFonts w:hint="eastAsia" w:hAnsi="Times New Roman"/>
                <w:color w:val="auto"/>
                <w:sz w:val="24"/>
              </w:rPr>
              <w:t>。项目年运行365天，每天24小时，为连续运行。</w:t>
            </w:r>
          </w:p>
          <w:p>
            <w:pPr>
              <w:pStyle w:val="91"/>
              <w:spacing w:line="360" w:lineRule="auto"/>
              <w:ind w:firstLine="495" w:firstLineChars="0"/>
              <w:rPr>
                <w:rFonts w:hAnsi="Times New Roman"/>
                <w:b/>
                <w:bCs/>
                <w:color w:val="auto"/>
                <w:kern w:val="0"/>
                <w:sz w:val="24"/>
              </w:rPr>
            </w:pPr>
            <w:r>
              <w:rPr>
                <w:rFonts w:hint="eastAsia" w:hAnsi="Times New Roman"/>
                <w:b/>
                <w:bCs/>
                <w:color w:val="auto"/>
                <w:kern w:val="0"/>
                <w:sz w:val="24"/>
              </w:rPr>
              <w:t>8</w:t>
            </w:r>
            <w:r>
              <w:rPr>
                <w:rFonts w:hAnsi="Times New Roman"/>
                <w:b/>
                <w:bCs/>
                <w:color w:val="auto"/>
                <w:kern w:val="0"/>
                <w:sz w:val="24"/>
              </w:rPr>
              <w:t>、占地及平面布置</w:t>
            </w:r>
          </w:p>
          <w:p>
            <w:pPr>
              <w:pStyle w:val="91"/>
              <w:spacing w:line="360" w:lineRule="auto"/>
              <w:ind w:firstLine="495" w:firstLineChars="0"/>
              <w:rPr>
                <w:rFonts w:hAnsi="Times New Roman"/>
                <w:color w:val="auto"/>
                <w:sz w:val="24"/>
              </w:rPr>
            </w:pPr>
            <w:r>
              <w:rPr>
                <w:rFonts w:hint="eastAsia" w:hAnsi="Times New Roman"/>
                <w:color w:val="auto"/>
                <w:sz w:val="24"/>
              </w:rPr>
              <w:t>⑴ 2511站东北侧为大门，厂区中间为车辆进场倒车区，南侧为卸水箱，东南角为缓冲水箱，西北角为三级处理装置，西侧为净化水罐。东北侧为厂区现有的值班撬，西南角为泥浆坑，北侧原变压室和电线井等。</w:t>
            </w:r>
          </w:p>
          <w:p>
            <w:pPr>
              <w:pStyle w:val="91"/>
              <w:spacing w:line="360" w:lineRule="auto"/>
              <w:ind w:firstLine="495" w:firstLineChars="0"/>
              <w:rPr>
                <w:rFonts w:hAnsi="Times New Roman"/>
                <w:color w:val="auto"/>
                <w:sz w:val="24"/>
              </w:rPr>
            </w:pPr>
            <w:r>
              <w:rPr>
                <w:rFonts w:hint="eastAsia" w:hAnsi="Times New Roman"/>
                <w:color w:val="auto"/>
                <w:sz w:val="24"/>
              </w:rPr>
              <w:t>⑵ 3270站厂区东侧为大门，厂区中间为车辆进场倒车区，南侧为卸水箱，东南角为缓冲水箱，西南角为三级处理装置，西侧为净化水罐。西侧为厂区现有的办公区等，南侧为工具间、换热器、三相分离器等，北侧为除油箱和污油池等。</w:t>
            </w:r>
          </w:p>
          <w:p>
            <w:pPr>
              <w:pStyle w:val="91"/>
              <w:spacing w:line="360" w:lineRule="auto"/>
              <w:ind w:firstLine="495" w:firstLineChars="0"/>
              <w:rPr>
                <w:rFonts w:hAnsi="Times New Roman"/>
                <w:color w:val="auto"/>
                <w:sz w:val="24"/>
              </w:rPr>
            </w:pPr>
            <w:r>
              <w:rPr>
                <w:rFonts w:hint="eastAsia" w:hAnsi="Times New Roman"/>
                <w:color w:val="auto"/>
                <w:sz w:val="24"/>
              </w:rPr>
              <w:t>⑶ 4926-4站厂区北侧为大门，厂区中间为车辆进场倒车区，西南侧为卸水箱和缓冲水箱，东南角为三级处理装置和净化水罐。北侧为厂区现有的值班室，南侧为变压器和厕所等。</w:t>
            </w:r>
          </w:p>
          <w:p>
            <w:pPr>
              <w:pStyle w:val="91"/>
              <w:spacing w:line="360" w:lineRule="auto"/>
              <w:ind w:firstLine="495" w:firstLineChars="0"/>
              <w:rPr>
                <w:rFonts w:hAnsi="Times New Roman"/>
                <w:color w:val="auto"/>
                <w:sz w:val="24"/>
              </w:rPr>
            </w:pPr>
            <w:r>
              <w:rPr>
                <w:rFonts w:hint="eastAsia" w:hAnsi="Times New Roman"/>
                <w:color w:val="auto"/>
                <w:sz w:val="24"/>
              </w:rPr>
              <w:t>整个厂区以生产工艺流程为主导，站内各功能区分区明确，并以道路和绿化带相隔，总平面布置合理。项目</w:t>
            </w:r>
            <w:r>
              <w:rPr>
                <w:rFonts w:hint="eastAsia" w:hAnsi="Times New Roman"/>
                <w:color w:val="auto"/>
                <w:sz w:val="24"/>
                <w:lang w:val="en-US" w:eastAsia="zh-CN"/>
              </w:rPr>
              <w:t>位置及</w:t>
            </w:r>
            <w:r>
              <w:rPr>
                <w:rFonts w:hint="eastAsia" w:hAnsi="Times New Roman"/>
                <w:color w:val="auto"/>
                <w:sz w:val="24"/>
              </w:rPr>
              <w:t>总平面布置图见附图</w:t>
            </w:r>
            <w:r>
              <w:rPr>
                <w:rFonts w:hint="eastAsia" w:hAnsi="Times New Roman"/>
                <w:color w:val="auto"/>
                <w:sz w:val="24"/>
                <w:lang w:val="en-US" w:eastAsia="zh-CN"/>
              </w:rPr>
              <w:t>1至附图5</w:t>
            </w:r>
            <w:r>
              <w:rPr>
                <w:rFonts w:hint="eastAsia" w:hAnsi="Times New Roman"/>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578" w:type="dxa"/>
            <w:vAlign w:val="center"/>
          </w:tcPr>
          <w:p>
            <w:pPr>
              <w:pStyle w:val="30"/>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339" w:type="dxa"/>
          </w:tcPr>
          <w:p>
            <w:pPr>
              <w:pStyle w:val="91"/>
              <w:spacing w:line="360" w:lineRule="auto"/>
              <w:ind w:firstLine="495" w:firstLineChars="0"/>
              <w:rPr>
                <w:rFonts w:ascii="Calibri"/>
                <w:b/>
                <w:snapToGrid w:val="0"/>
                <w:color w:val="auto"/>
                <w:kern w:val="0"/>
                <w:sz w:val="24"/>
              </w:rPr>
            </w:pPr>
            <w:r>
              <w:rPr>
                <w:rFonts w:hint="eastAsia" w:ascii="Calibri"/>
                <w:b/>
                <w:snapToGrid w:val="0"/>
                <w:color w:val="auto"/>
                <w:kern w:val="0"/>
                <w:sz w:val="24"/>
              </w:rPr>
              <w:t>1、工艺流程</w:t>
            </w:r>
          </w:p>
          <w:p>
            <w:pPr>
              <w:pStyle w:val="91"/>
              <w:spacing w:line="360" w:lineRule="auto"/>
              <w:ind w:firstLine="495" w:firstLineChars="0"/>
              <w:rPr>
                <w:bCs/>
                <w:color w:val="auto"/>
                <w:sz w:val="24"/>
              </w:rPr>
            </w:pPr>
            <w:r>
              <w:rPr>
                <w:rFonts w:hint="eastAsia"/>
                <w:bCs/>
                <w:color w:val="auto"/>
                <w:sz w:val="24"/>
              </w:rPr>
              <w:t>本项目建设的3座污水处理站工艺流程相同。</w:t>
            </w:r>
          </w:p>
          <w:p>
            <w:pPr>
              <w:pStyle w:val="91"/>
              <w:spacing w:line="360" w:lineRule="auto"/>
              <w:ind w:firstLine="495" w:firstLineChars="0"/>
              <w:rPr>
                <w:bCs/>
                <w:color w:val="auto"/>
                <w:sz w:val="24"/>
              </w:rPr>
            </w:pPr>
            <w:r>
              <w:rPr>
                <w:rFonts w:hint="eastAsia"/>
                <w:bCs/>
                <w:color w:val="auto"/>
                <w:sz w:val="24"/>
              </w:rPr>
              <w:t>采出水由车拉运或管道输送进入卸水箱，通过提升泵进入缓冲水箱，在缓冲水箱沉淀后水通过提升泵进入压力式高效混凝反应器，进入压力式高效混凝反应器前在输水管道中加各种药剂反应。出水经净化水装置、粗过滤器、精细过滤装置、高精度过滤器逐级进行絮凝沉降后可实现油水分离，达标后的采出水进入净化水箱，净化水箱出水经送采出水处理站注水橇加压后回注地层。污泥和反冲洗水送埋地式污油泥回收罐。</w:t>
            </w:r>
          </w:p>
          <w:p>
            <w:pPr>
              <w:pStyle w:val="91"/>
              <w:spacing w:line="360" w:lineRule="auto"/>
              <w:ind w:firstLine="495" w:firstLineChars="0"/>
              <w:rPr>
                <w:bCs/>
                <w:color w:val="auto"/>
                <w:sz w:val="24"/>
              </w:rPr>
            </w:pPr>
            <w:r>
              <w:rPr>
                <w:rFonts w:hint="eastAsia"/>
                <w:bCs/>
                <w:color w:val="auto"/>
                <w:sz w:val="24"/>
              </w:rPr>
              <w:t>工艺流程具体如下：</w:t>
            </w:r>
          </w:p>
          <w:p>
            <w:pPr>
              <w:pStyle w:val="91"/>
              <w:spacing w:line="360" w:lineRule="auto"/>
              <w:ind w:firstLine="495" w:firstLineChars="0"/>
              <w:rPr>
                <w:bCs/>
                <w:color w:val="auto"/>
                <w:sz w:val="24"/>
              </w:rPr>
            </w:pPr>
            <w:r>
              <w:rPr>
                <w:rFonts w:hint="eastAsia"/>
                <w:bCs/>
                <w:color w:val="auto"/>
                <w:sz w:val="24"/>
              </w:rPr>
              <w:t>①卸水及初步除油</w:t>
            </w:r>
          </w:p>
          <w:p>
            <w:pPr>
              <w:pStyle w:val="91"/>
              <w:spacing w:line="360" w:lineRule="auto"/>
              <w:ind w:firstLine="495" w:firstLineChars="0"/>
              <w:rPr>
                <w:bCs/>
                <w:color w:val="auto"/>
                <w:sz w:val="24"/>
              </w:rPr>
            </w:pPr>
            <w:r>
              <w:rPr>
                <w:rFonts w:hint="eastAsia"/>
                <w:bCs/>
                <w:color w:val="auto"/>
                <w:sz w:val="24"/>
              </w:rPr>
              <w:t>罐车拉运或者管道输送来的采出水卸水至卸水箱，70m³的卸水箱中间建设一个砖混隔水墙将卸水箱分为两个格子，进水在第一个格子简单沉淀后油水初步分离，部分原油上浮起来后在第一个格子，原水通过位于液面以下的隔水墙上面的透水孔进入第二个格子。第一个格子上浮的原油产品定期由定边采油厂收集。</w:t>
            </w:r>
          </w:p>
          <w:p>
            <w:pPr>
              <w:pStyle w:val="91"/>
              <w:spacing w:line="360" w:lineRule="auto"/>
              <w:ind w:firstLine="495" w:firstLineChars="0"/>
              <w:rPr>
                <w:bCs/>
                <w:color w:val="auto"/>
                <w:sz w:val="24"/>
              </w:rPr>
            </w:pPr>
            <w:r>
              <w:rPr>
                <w:rFonts w:hint="eastAsia"/>
                <w:bCs/>
                <w:color w:val="auto"/>
                <w:sz w:val="24"/>
              </w:rPr>
              <w:t>②缓冲及初步沉淀</w:t>
            </w:r>
          </w:p>
          <w:p>
            <w:pPr>
              <w:pStyle w:val="91"/>
              <w:spacing w:line="360" w:lineRule="auto"/>
              <w:ind w:firstLine="495" w:firstLineChars="0"/>
              <w:rPr>
                <w:bCs/>
                <w:color w:val="auto"/>
                <w:sz w:val="24"/>
              </w:rPr>
            </w:pPr>
            <w:r>
              <w:rPr>
                <w:rFonts w:hint="eastAsia"/>
                <w:bCs/>
                <w:color w:val="auto"/>
                <w:sz w:val="24"/>
              </w:rPr>
              <w:t>缓冲水箱主要对来水进行分类、分质储存和简单沉淀；水箱联通并分别设置液位计，停留时间为16h。通过沉淀可初步去除悬浮物。悬浮物暂存在污水污泥罐，定期委托有资质单位处置。</w:t>
            </w:r>
          </w:p>
          <w:p>
            <w:pPr>
              <w:pStyle w:val="91"/>
              <w:spacing w:line="360" w:lineRule="auto"/>
              <w:ind w:firstLine="495" w:firstLineChars="0"/>
              <w:rPr>
                <w:bCs/>
                <w:color w:val="auto"/>
                <w:sz w:val="24"/>
              </w:rPr>
            </w:pPr>
            <w:r>
              <w:rPr>
                <w:rFonts w:hint="eastAsia"/>
                <w:bCs/>
                <w:color w:val="auto"/>
                <w:sz w:val="24"/>
              </w:rPr>
              <w:t>③污水处理装置</w:t>
            </w:r>
          </w:p>
          <w:p>
            <w:pPr>
              <w:pStyle w:val="91"/>
              <w:spacing w:line="360" w:lineRule="auto"/>
              <w:ind w:firstLine="495" w:firstLineChars="0"/>
              <w:rPr>
                <w:bCs/>
                <w:color w:val="auto"/>
                <w:sz w:val="24"/>
              </w:rPr>
            </w:pPr>
            <w:r>
              <w:rPr>
                <w:rFonts w:hint="eastAsia"/>
                <w:bCs/>
                <w:color w:val="auto"/>
                <w:sz w:val="24"/>
              </w:rPr>
              <w:t>污水处理装置分为加药撬、净化撬和过滤撬。</w:t>
            </w:r>
          </w:p>
          <w:p>
            <w:pPr>
              <w:pStyle w:val="91"/>
              <w:spacing w:line="360" w:lineRule="auto"/>
              <w:ind w:firstLine="495" w:firstLineChars="0"/>
              <w:rPr>
                <w:bCs/>
                <w:color w:val="auto"/>
                <w:sz w:val="24"/>
              </w:rPr>
            </w:pPr>
            <w:r>
              <w:rPr>
                <w:rFonts w:hint="eastAsia"/>
                <w:bCs/>
                <w:color w:val="auto"/>
                <w:sz w:val="24"/>
              </w:rPr>
              <w:t>1.加药撬</w:t>
            </w:r>
          </w:p>
          <w:p>
            <w:pPr>
              <w:pStyle w:val="91"/>
              <w:spacing w:line="360" w:lineRule="auto"/>
              <w:ind w:firstLine="495" w:firstLineChars="0"/>
              <w:rPr>
                <w:bCs/>
                <w:color w:val="auto"/>
                <w:sz w:val="24"/>
              </w:rPr>
            </w:pPr>
            <w:r>
              <w:rPr>
                <w:rFonts w:hint="eastAsia"/>
                <w:bCs/>
                <w:color w:val="auto"/>
                <w:sz w:val="24"/>
              </w:rPr>
              <w:t>A、加碱装置</w:t>
            </w:r>
          </w:p>
          <w:p>
            <w:pPr>
              <w:pStyle w:val="91"/>
              <w:spacing w:line="360" w:lineRule="auto"/>
              <w:ind w:firstLine="495" w:firstLineChars="0"/>
              <w:rPr>
                <w:bCs/>
                <w:color w:val="auto"/>
                <w:sz w:val="24"/>
              </w:rPr>
            </w:pPr>
            <w:r>
              <w:rPr>
                <w:rFonts w:hint="eastAsia"/>
                <w:bCs/>
                <w:color w:val="auto"/>
                <w:sz w:val="24"/>
              </w:rPr>
              <w:t>加碱装置作用是调节含油污水的pH值，使pH达到含油污水与进行絮凝反应时的最佳pH值7.85左右。调节含油污水的pH值，有助于破胶，除钙镁等多效功能。碱为固体片碱（氢氧化钠），采用计量泵投加</w:t>
            </w:r>
            <w:r>
              <w:rPr>
                <w:rFonts w:hint="eastAsia"/>
                <w:bCs/>
                <w:color w:val="auto"/>
                <w:sz w:val="24"/>
              </w:rPr>
              <w:t>，投加点设在第一级压力式高效混凝反应器进水口的管线上，</w:t>
            </w:r>
            <w:r>
              <w:rPr>
                <w:rFonts w:hint="eastAsia"/>
                <w:bCs/>
                <w:color w:val="auto"/>
                <w:sz w:val="24"/>
              </w:rPr>
              <w:t>采用在线pH计联动控制加碱量，当pH值降低时，系统自动增加加碱量，当pH值上升时，系统降低加碱量，全部实现无人操作。</w:t>
            </w:r>
          </w:p>
          <w:p>
            <w:pPr>
              <w:pStyle w:val="91"/>
              <w:spacing w:line="360" w:lineRule="auto"/>
              <w:ind w:firstLine="495" w:firstLineChars="0"/>
              <w:rPr>
                <w:bCs/>
                <w:color w:val="auto"/>
                <w:sz w:val="24"/>
              </w:rPr>
            </w:pPr>
            <w:r>
              <w:rPr>
                <w:rFonts w:hint="eastAsia"/>
                <w:bCs/>
                <w:color w:val="auto"/>
                <w:sz w:val="24"/>
              </w:rPr>
              <w:t>B、PAC加药装置</w:t>
            </w:r>
          </w:p>
          <w:p>
            <w:pPr>
              <w:pStyle w:val="91"/>
              <w:spacing w:line="360" w:lineRule="auto"/>
              <w:ind w:firstLine="495" w:firstLineChars="0"/>
              <w:rPr>
                <w:bCs/>
                <w:color w:val="auto"/>
                <w:sz w:val="24"/>
              </w:rPr>
            </w:pPr>
            <w:r>
              <w:rPr>
                <w:rFonts w:hint="eastAsia"/>
                <w:bCs/>
                <w:color w:val="auto"/>
                <w:sz w:val="24"/>
              </w:rPr>
              <w:t>PAC加药装置采用机械隔膜计量泵投加，</w:t>
            </w:r>
            <w:r>
              <w:rPr>
                <w:rFonts w:hint="eastAsia"/>
                <w:bCs/>
                <w:color w:val="auto"/>
                <w:sz w:val="24"/>
              </w:rPr>
              <w:t>投加点设在第二级压力式高效混凝反应器进水口的管线上，</w:t>
            </w:r>
            <w:r>
              <w:rPr>
                <w:rFonts w:hint="eastAsia"/>
                <w:bCs/>
                <w:color w:val="auto"/>
                <w:sz w:val="24"/>
              </w:rPr>
              <w:t>根据水质及水量而定量投加。投加水质絮凝剂作用是通过反应将水中的微小颗粒、油滴等絮凝到一起产生微油滴、微絮花等，同时能脱色。</w:t>
            </w:r>
          </w:p>
          <w:p>
            <w:pPr>
              <w:pStyle w:val="91"/>
              <w:spacing w:line="360" w:lineRule="auto"/>
              <w:ind w:firstLine="495" w:firstLineChars="0"/>
              <w:rPr>
                <w:bCs/>
                <w:color w:val="auto"/>
                <w:sz w:val="24"/>
              </w:rPr>
            </w:pPr>
            <w:r>
              <w:rPr>
                <w:rFonts w:hint="eastAsia"/>
                <w:bCs/>
                <w:color w:val="auto"/>
                <w:sz w:val="24"/>
              </w:rPr>
              <w:t>C、PAM加药装置</w:t>
            </w:r>
          </w:p>
          <w:p>
            <w:pPr>
              <w:pStyle w:val="91"/>
              <w:spacing w:line="360" w:lineRule="auto"/>
              <w:ind w:firstLine="495" w:firstLineChars="0"/>
              <w:rPr>
                <w:bCs/>
                <w:color w:val="auto"/>
                <w:sz w:val="24"/>
              </w:rPr>
            </w:pPr>
            <w:r>
              <w:rPr>
                <w:rFonts w:hint="eastAsia"/>
                <w:bCs/>
                <w:color w:val="auto"/>
                <w:sz w:val="24"/>
              </w:rPr>
              <w:t>PAM加药装置采用机械隔膜计量泵投加，</w:t>
            </w:r>
            <w:r>
              <w:rPr>
                <w:rFonts w:hint="eastAsia"/>
                <w:bCs/>
                <w:color w:val="auto"/>
                <w:sz w:val="24"/>
              </w:rPr>
              <w:t>投加点设在第二级压力式高效混凝反应器进水口的管线上，</w:t>
            </w:r>
            <w:r>
              <w:rPr>
                <w:rFonts w:hint="eastAsia"/>
                <w:bCs/>
                <w:color w:val="auto"/>
                <w:sz w:val="24"/>
              </w:rPr>
              <w:t>根据水质水量而定量投加。投加高分子助凝剂作用是把PAC反应时产生的小油滴、小絮花聚拢在一起成大油滴、大絮花，以便在后续污水净化水装置中絮凝沉降。</w:t>
            </w:r>
          </w:p>
          <w:p>
            <w:pPr>
              <w:pStyle w:val="91"/>
              <w:spacing w:line="360" w:lineRule="auto"/>
              <w:ind w:firstLine="495" w:firstLineChars="0"/>
              <w:rPr>
                <w:bCs/>
                <w:color w:val="auto"/>
                <w:sz w:val="24"/>
              </w:rPr>
            </w:pPr>
            <w:r>
              <w:rPr>
                <w:rFonts w:hint="eastAsia"/>
                <w:bCs/>
                <w:color w:val="auto"/>
                <w:sz w:val="24"/>
              </w:rPr>
              <w:t>D、阻垢剂加药装置</w:t>
            </w:r>
          </w:p>
          <w:p>
            <w:pPr>
              <w:pStyle w:val="91"/>
              <w:spacing w:line="360" w:lineRule="auto"/>
              <w:ind w:firstLine="495" w:firstLineChars="0"/>
              <w:rPr>
                <w:bCs/>
                <w:color w:val="auto"/>
                <w:sz w:val="24"/>
              </w:rPr>
            </w:pPr>
            <w:r>
              <w:rPr>
                <w:rFonts w:hint="eastAsia"/>
                <w:bCs/>
                <w:color w:val="auto"/>
                <w:sz w:val="24"/>
              </w:rPr>
              <w:t>阻垢剂加药装置采用机械隔膜计量泵投加，</w:t>
            </w:r>
            <w:r>
              <w:rPr>
                <w:rFonts w:hint="eastAsia"/>
                <w:bCs/>
                <w:color w:val="auto"/>
                <w:sz w:val="24"/>
              </w:rPr>
              <w:t>投加点设在第二级压力式高效混凝反应器出水口的管线上，</w:t>
            </w:r>
            <w:r>
              <w:rPr>
                <w:rFonts w:hint="eastAsia"/>
                <w:bCs/>
                <w:color w:val="auto"/>
                <w:sz w:val="24"/>
              </w:rPr>
              <w:t>阻垢剂由多种有机磷酸、特殊表面活性剂、增效剂等组成，对水中的Ca、Mg具有螯合作用，可通过晶格畸变作用抑制垢的生成，对水中的碳酸钙、硫酸钙、磷酸钙等均有良好的螯合分散作用。可去除回注水含有的大量的钙、镁以及锶、钡等离子，避免相应带来管线的钙镁结垢、腐蚀等问题。</w:t>
            </w:r>
          </w:p>
          <w:p>
            <w:pPr>
              <w:pStyle w:val="91"/>
              <w:spacing w:line="360" w:lineRule="auto"/>
              <w:ind w:firstLine="495" w:firstLineChars="0"/>
              <w:rPr>
                <w:bCs/>
                <w:color w:val="auto"/>
                <w:sz w:val="24"/>
              </w:rPr>
            </w:pPr>
            <w:r>
              <w:rPr>
                <w:rFonts w:hint="eastAsia"/>
                <w:bCs/>
                <w:color w:val="auto"/>
                <w:sz w:val="24"/>
              </w:rPr>
              <w:t>E、杀菌剂加药装置</w:t>
            </w:r>
          </w:p>
          <w:p>
            <w:pPr>
              <w:pStyle w:val="91"/>
              <w:spacing w:line="360" w:lineRule="auto"/>
              <w:ind w:firstLine="495" w:firstLineChars="0"/>
              <w:rPr>
                <w:bCs/>
                <w:color w:val="auto"/>
                <w:sz w:val="24"/>
              </w:rPr>
            </w:pPr>
            <w:r>
              <w:rPr>
                <w:rFonts w:hint="eastAsia"/>
                <w:bCs/>
                <w:color w:val="auto"/>
                <w:sz w:val="24"/>
              </w:rPr>
              <w:t>杀菌剂加药装置采用机械隔膜计量泵投加，</w:t>
            </w:r>
            <w:r>
              <w:rPr>
                <w:rFonts w:hint="eastAsia"/>
                <w:bCs/>
                <w:color w:val="auto"/>
                <w:sz w:val="24"/>
              </w:rPr>
              <w:t>投加点设在三级过滤装置撬的粗过器进水口的管线上，</w:t>
            </w:r>
            <w:r>
              <w:rPr>
                <w:rFonts w:hint="eastAsia"/>
                <w:bCs/>
                <w:color w:val="auto"/>
                <w:sz w:val="24"/>
              </w:rPr>
              <w:t>本项目采用SW系列杀菌剂（型号：SW-60、SW-70、SW-80），可避免回注水中的硫酸盐还原菌（SRB）、腐生菌（TGB）和铁细菌等引起金属腐蚀、地层堵塞、化学剂变质等。</w:t>
            </w:r>
          </w:p>
          <w:p>
            <w:pPr>
              <w:pStyle w:val="91"/>
              <w:spacing w:line="360" w:lineRule="auto"/>
              <w:ind w:firstLine="495" w:firstLineChars="0"/>
              <w:rPr>
                <w:bCs/>
                <w:color w:val="auto"/>
                <w:sz w:val="24"/>
              </w:rPr>
            </w:pPr>
            <w:r>
              <w:rPr>
                <w:rFonts w:hint="eastAsia"/>
                <w:bCs/>
                <w:color w:val="auto"/>
                <w:sz w:val="24"/>
              </w:rPr>
              <w:t>2.净化撬</w:t>
            </w:r>
          </w:p>
          <w:p>
            <w:pPr>
              <w:pStyle w:val="91"/>
              <w:spacing w:line="360" w:lineRule="auto"/>
              <w:ind w:firstLine="495" w:firstLineChars="0"/>
              <w:rPr>
                <w:bCs/>
                <w:color w:val="auto"/>
                <w:sz w:val="24"/>
              </w:rPr>
            </w:pPr>
            <w:r>
              <w:rPr>
                <w:rFonts w:hint="eastAsia"/>
                <w:bCs/>
                <w:color w:val="auto"/>
                <w:sz w:val="24"/>
              </w:rPr>
              <w:t>A、压力式高效混凝反应器</w:t>
            </w:r>
          </w:p>
          <w:p>
            <w:pPr>
              <w:pStyle w:val="91"/>
              <w:spacing w:line="360" w:lineRule="auto"/>
              <w:ind w:firstLine="495" w:firstLineChars="0"/>
              <w:rPr>
                <w:bCs/>
                <w:color w:val="auto"/>
                <w:sz w:val="24"/>
              </w:rPr>
            </w:pPr>
            <w:r>
              <w:rPr>
                <w:rFonts w:hint="eastAsia"/>
                <w:bCs/>
                <w:color w:val="auto"/>
                <w:sz w:val="24"/>
              </w:rPr>
              <w:t>工作原理是采用多层折流板在有限的空间中不断改变水流方向，而且自下向上流的方式带压，切向旋流进水，出水在设备的最高处。全套设备无死角，无需排气，充分反应时间在12分钟左右，反应器不产生沉淀物，药剂与含油污水充分接触，完全反应，药剂的利用率在99%以上。</w:t>
            </w:r>
          </w:p>
          <w:p>
            <w:pPr>
              <w:pStyle w:val="91"/>
              <w:spacing w:line="360" w:lineRule="auto"/>
              <w:ind w:firstLine="495" w:firstLineChars="0"/>
              <w:rPr>
                <w:bCs/>
                <w:color w:val="auto"/>
                <w:sz w:val="24"/>
              </w:rPr>
            </w:pPr>
            <w:r>
              <w:rPr>
                <w:rFonts w:hint="eastAsia"/>
                <w:bCs/>
                <w:color w:val="auto"/>
                <w:sz w:val="24"/>
              </w:rPr>
              <w:t>B、净化水处理装置</w:t>
            </w:r>
          </w:p>
          <w:p>
            <w:pPr>
              <w:pStyle w:val="91"/>
              <w:spacing w:line="360" w:lineRule="auto"/>
              <w:ind w:firstLine="495" w:firstLineChars="0"/>
              <w:rPr>
                <w:bCs/>
                <w:color w:val="auto"/>
                <w:sz w:val="24"/>
              </w:rPr>
            </w:pPr>
            <w:r>
              <w:rPr>
                <w:rFonts w:hint="eastAsia"/>
                <w:bCs/>
                <w:color w:val="auto"/>
                <w:sz w:val="24"/>
              </w:rPr>
              <w:t>净化水处理装置是将格栅网格反应、聚结技术、拦截技术和“浅层”原理有机结合起来的处理设备。</w:t>
            </w:r>
          </w:p>
          <w:p>
            <w:pPr>
              <w:pStyle w:val="91"/>
              <w:spacing w:line="360" w:lineRule="auto"/>
              <w:ind w:firstLine="495" w:firstLineChars="0"/>
              <w:rPr>
                <w:bCs/>
                <w:color w:val="auto"/>
                <w:sz w:val="24"/>
              </w:rPr>
            </w:pPr>
            <w:r>
              <w:rPr>
                <w:rFonts w:hint="eastAsia"/>
                <w:bCs/>
                <w:color w:val="auto"/>
                <w:sz w:val="24"/>
              </w:rPr>
              <w:t>装置内设旋转反应筒，内置栅条、网格及拦截体，在拦截体内增加微涡旋，增加单位水量消耗的能量，增加颗料间的有效碰撞，增强絮体颗粒的碰撞强度，控制絮体颗粒的过快长大，使形成的絮体密实。</w:t>
            </w:r>
          </w:p>
          <w:p>
            <w:pPr>
              <w:pStyle w:val="91"/>
              <w:spacing w:line="360" w:lineRule="auto"/>
              <w:ind w:firstLine="495" w:firstLineChars="0"/>
              <w:rPr>
                <w:bCs/>
                <w:color w:val="auto"/>
                <w:sz w:val="24"/>
              </w:rPr>
            </w:pPr>
            <w:r>
              <w:rPr>
                <w:rFonts w:hint="eastAsia"/>
                <w:bCs/>
                <w:color w:val="auto"/>
                <w:sz w:val="24"/>
              </w:rPr>
              <w:t>在装置中安装的小波高多波峰侧向流波纹板，可最大限度降低板间间距，并且水流在板间流动截面不断变化，流动方向也不断变换，使流体在板间交替碰撞，这就为悬浮物在沉降过程中碰撞聚结絮凝提供了更多机会，从而使固体颗粒在絮凝聚结中沉降，在沉降中聚结絮凝，强化了沉降效率。</w:t>
            </w:r>
          </w:p>
          <w:p>
            <w:pPr>
              <w:pStyle w:val="91"/>
              <w:spacing w:line="360" w:lineRule="auto"/>
              <w:ind w:firstLine="495" w:firstLineChars="0"/>
              <w:rPr>
                <w:bCs/>
                <w:color w:val="auto"/>
                <w:sz w:val="24"/>
              </w:rPr>
            </w:pPr>
            <w:r>
              <w:rPr>
                <w:rFonts w:hint="eastAsia"/>
                <w:bCs/>
                <w:color w:val="auto"/>
                <w:sz w:val="24"/>
              </w:rPr>
              <w:t>工作原理：</w:t>
            </w:r>
          </w:p>
          <w:p>
            <w:pPr>
              <w:pStyle w:val="91"/>
              <w:spacing w:line="360" w:lineRule="auto"/>
              <w:ind w:firstLine="495" w:firstLineChars="0"/>
              <w:rPr>
                <w:bCs/>
                <w:color w:val="auto"/>
                <w:sz w:val="24"/>
              </w:rPr>
            </w:pPr>
            <w:r>
              <w:rPr>
                <w:rFonts w:hint="eastAsia"/>
                <w:bCs/>
                <w:color w:val="auto"/>
                <w:sz w:val="24"/>
              </w:rPr>
              <w:t>聚结区：设有SH型旋转系列聚结填料，该填料系高分子聚合物制成，其整体结构面圆形。外圆根据水力作茧自缚用原理采用特殊结构的框架组成，以中心轴为主体向四周作弧片放射状若干片，弧片内由许多带毛刺的菱形枝条有规则、等孔隙地连接，增加了亲油面积，提高了聚结效率。在水流作用下，内中心轴会自动做旋转，加快大油滴的剥落，防止聚结材料的板结。</w:t>
            </w:r>
          </w:p>
          <w:p>
            <w:pPr>
              <w:pStyle w:val="91"/>
              <w:spacing w:line="360" w:lineRule="auto"/>
              <w:ind w:firstLine="495" w:firstLineChars="0"/>
              <w:rPr>
                <w:bCs/>
                <w:color w:val="auto"/>
                <w:sz w:val="24"/>
              </w:rPr>
            </w:pPr>
            <w:r>
              <w:rPr>
                <w:rFonts w:hint="eastAsia"/>
                <w:bCs/>
                <w:color w:val="auto"/>
                <w:sz w:val="24"/>
              </w:rPr>
              <w:t>a.除油区：装置内按一定角度安装小间距侧向流斜板，它采用“浅池”原理，在油水砂分离过程中缩短油滴上浮悬浮物下沉的距离，它又解决了采用斜板而引起的配水不均、罐体积浪费、排泥不畅问题。同时通过小间距侧向流斜板内部特殊结构的再凝聚和絮凝过程，继续促进絮粒的逐步增大，增大油滴悬浮物颗粒上浮下沉速度，提高其处理效率。</w:t>
            </w:r>
          </w:p>
          <w:p>
            <w:pPr>
              <w:pStyle w:val="91"/>
              <w:spacing w:line="360" w:lineRule="auto"/>
              <w:ind w:firstLine="495" w:firstLineChars="0"/>
              <w:rPr>
                <w:bCs/>
                <w:color w:val="auto"/>
                <w:sz w:val="24"/>
              </w:rPr>
            </w:pPr>
            <w:r>
              <w:rPr>
                <w:rFonts w:hint="eastAsia"/>
                <w:bCs/>
                <w:color w:val="auto"/>
                <w:sz w:val="24"/>
              </w:rPr>
              <w:t>b.反应区：经油水分离后的污水加药后经管道引至后部的旋转反应筒，反应部分设旋流筒，筒内置栅条、网格，增加颗粒间的有效碰撞；增强絮体颗粒的碰撞强度，增强药效。</w:t>
            </w:r>
          </w:p>
          <w:p>
            <w:pPr>
              <w:pStyle w:val="91"/>
              <w:spacing w:line="360" w:lineRule="auto"/>
              <w:ind w:firstLine="495" w:firstLineChars="0"/>
              <w:rPr>
                <w:bCs/>
                <w:color w:val="auto"/>
                <w:sz w:val="24"/>
              </w:rPr>
            </w:pPr>
            <w:r>
              <w:rPr>
                <w:rFonts w:hint="eastAsia"/>
                <w:bCs/>
                <w:color w:val="auto"/>
                <w:sz w:val="24"/>
              </w:rPr>
              <w:t>c.沉降区：经反应区形成密实絮体后的污水向前进入沉降区，沉降区内设置小波高多波峰波纹板，最大限度降低板间间距，并且水流在板间流动截面不断变化，流动方向也不断变换，使流体在板间交错碰撞，这就为油滴、固体颗粒在絮凝聚结中上浮沉降，在上浮沉降中聚结絮凝强化了处理效果。</w:t>
            </w:r>
          </w:p>
          <w:p>
            <w:pPr>
              <w:pStyle w:val="91"/>
              <w:spacing w:line="360" w:lineRule="auto"/>
              <w:ind w:firstLine="495" w:firstLineChars="0"/>
              <w:rPr>
                <w:bCs/>
                <w:color w:val="auto"/>
                <w:sz w:val="24"/>
              </w:rPr>
            </w:pPr>
            <w:r>
              <w:rPr>
                <w:rFonts w:hint="eastAsia"/>
                <w:bCs/>
                <w:color w:val="auto"/>
                <w:sz w:val="24"/>
              </w:rPr>
              <w:t>3.过滤撬</w:t>
            </w:r>
          </w:p>
          <w:p>
            <w:pPr>
              <w:pStyle w:val="91"/>
              <w:spacing w:line="360" w:lineRule="auto"/>
              <w:ind w:firstLine="495" w:firstLineChars="0"/>
              <w:rPr>
                <w:bCs/>
                <w:color w:val="auto"/>
                <w:sz w:val="24"/>
              </w:rPr>
            </w:pPr>
            <w:r>
              <w:rPr>
                <w:rFonts w:hint="eastAsia"/>
                <w:bCs/>
                <w:color w:val="auto"/>
                <w:sz w:val="24"/>
              </w:rPr>
              <w:t>A、一级粗过滤器</w:t>
            </w:r>
          </w:p>
          <w:p>
            <w:pPr>
              <w:pStyle w:val="91"/>
              <w:spacing w:line="360" w:lineRule="auto"/>
              <w:ind w:firstLine="495" w:firstLineChars="0"/>
              <w:rPr>
                <w:bCs/>
                <w:color w:val="auto"/>
                <w:sz w:val="24"/>
              </w:rPr>
            </w:pPr>
            <w:r>
              <w:rPr>
                <w:rFonts w:hint="eastAsia"/>
                <w:bCs/>
                <w:color w:val="auto"/>
                <w:sz w:val="24"/>
              </w:rPr>
              <w:t>该过滤器采用野山核桃壳作为净化滤料，滤料的粒径为0.8~1.2mm，其作用能吸附水中的原油，及滤芯表面能截留胶体、颗粒等悬浮杂质，当过滤产水到一定的周期时，滤料及滤层达到饱和状态，设备终止运行，进行反冲洗过程，反冲洗时，反冲洗泵加压清水，从罐底进入，废水从罐顶反冲洗水阀中排出。同时开启滤料搓洗泵，对粗过滤器中的滤料进行清洗，悬浮于水中的核桃壳滤料，从下部吸入搓洗泵中，通过泵的叶轮高速旋转，把核桃壳滤料的油、悬浮颗粒等分离出，再由反洗的清水带出过滤器，从而使滤料恢复如初，重复使用，大大降低更换滤料的成本；过滤周期23h，0.5h反洗再生滤料。</w:t>
            </w:r>
          </w:p>
          <w:p>
            <w:pPr>
              <w:pStyle w:val="91"/>
              <w:spacing w:line="360" w:lineRule="auto"/>
              <w:ind w:firstLine="495" w:firstLineChars="0"/>
              <w:rPr>
                <w:bCs/>
                <w:color w:val="auto"/>
                <w:sz w:val="24"/>
              </w:rPr>
            </w:pPr>
            <w:r>
              <w:rPr>
                <w:rFonts w:hint="eastAsia"/>
                <w:bCs/>
                <w:color w:val="auto"/>
                <w:sz w:val="24"/>
              </w:rPr>
              <w:t>B、二级精细过滤装置</w:t>
            </w:r>
          </w:p>
          <w:p>
            <w:pPr>
              <w:pStyle w:val="91"/>
              <w:spacing w:line="360" w:lineRule="auto"/>
              <w:ind w:firstLine="495" w:firstLineChars="0"/>
              <w:rPr>
                <w:bCs/>
                <w:color w:val="auto"/>
                <w:sz w:val="24"/>
              </w:rPr>
            </w:pPr>
            <w:r>
              <w:rPr>
                <w:rFonts w:hint="eastAsia"/>
                <w:bCs/>
                <w:color w:val="auto"/>
                <w:sz w:val="24"/>
              </w:rPr>
              <w:t>该设备为设备厂家最新的专利产品，也为本项目工艺区别于传统工艺的主要点，该精细过滤装置可替代并优于传统的多介质过滤器、三级过滤器等设备，该设备密闭压力运行，完全与空气隔绝，适用于挥发性溶液的处理。</w:t>
            </w:r>
          </w:p>
          <w:p>
            <w:pPr>
              <w:pStyle w:val="91"/>
              <w:spacing w:line="360" w:lineRule="auto"/>
              <w:ind w:firstLine="495" w:firstLineChars="0"/>
              <w:rPr>
                <w:bCs/>
                <w:color w:val="auto"/>
                <w:sz w:val="24"/>
              </w:rPr>
            </w:pPr>
            <w:r>
              <w:rPr>
                <w:rFonts w:hint="eastAsia"/>
                <w:bCs/>
                <w:color w:val="auto"/>
                <w:sz w:val="24"/>
              </w:rPr>
              <w:t>该设备主要创新点在于将精细滤料铺在滤棒表面，避免过滤时原水直接与滤棒接触，保证了滤棒使用寿命。此工艺解决了常规精密过滤器易堵塞、难反冲洗、寿命短等缺点。采用</w:t>
            </w:r>
            <w:r>
              <w:rPr>
                <w:bCs/>
                <w:color w:val="auto"/>
                <w:sz w:val="24"/>
              </w:rPr>
              <w:t>PLC</w:t>
            </w:r>
            <w:r>
              <w:rPr>
                <w:rFonts w:hint="eastAsia"/>
                <w:bCs/>
                <w:color w:val="auto"/>
                <w:sz w:val="24"/>
              </w:rPr>
              <w:t>可编程控制器进行</w:t>
            </w:r>
            <w:r>
              <w:rPr>
                <w:bCs/>
                <w:color w:val="auto"/>
                <w:sz w:val="24"/>
              </w:rPr>
              <w:t>“</w:t>
            </w:r>
            <w:r>
              <w:rPr>
                <w:rFonts w:hint="eastAsia"/>
                <w:bCs/>
                <w:color w:val="auto"/>
                <w:sz w:val="24"/>
              </w:rPr>
              <w:t>时间</w:t>
            </w:r>
            <w:r>
              <w:rPr>
                <w:bCs/>
                <w:color w:val="auto"/>
                <w:sz w:val="24"/>
              </w:rPr>
              <w:t>/</w:t>
            </w:r>
            <w:r>
              <w:rPr>
                <w:rFonts w:hint="eastAsia"/>
                <w:bCs/>
                <w:color w:val="auto"/>
                <w:sz w:val="24"/>
              </w:rPr>
              <w:t>压力</w:t>
            </w:r>
            <w:r>
              <w:rPr>
                <w:bCs/>
                <w:color w:val="auto"/>
                <w:sz w:val="24"/>
              </w:rPr>
              <w:t>”</w:t>
            </w:r>
            <w:r>
              <w:rPr>
                <w:rFonts w:hint="eastAsia"/>
                <w:bCs/>
                <w:color w:val="auto"/>
                <w:sz w:val="24"/>
              </w:rPr>
              <w:t>全自动控制方式，其中</w:t>
            </w:r>
            <w:r>
              <w:rPr>
                <w:bCs/>
                <w:color w:val="auto"/>
                <w:sz w:val="24"/>
              </w:rPr>
              <w:t>“</w:t>
            </w:r>
            <w:r>
              <w:rPr>
                <w:rFonts w:hint="eastAsia"/>
                <w:bCs/>
                <w:color w:val="auto"/>
                <w:sz w:val="24"/>
              </w:rPr>
              <w:t>时间</w:t>
            </w:r>
            <w:r>
              <w:rPr>
                <w:bCs/>
                <w:color w:val="auto"/>
                <w:sz w:val="24"/>
              </w:rPr>
              <w:t>”</w:t>
            </w:r>
            <w:r>
              <w:rPr>
                <w:rFonts w:hint="eastAsia"/>
                <w:bCs/>
                <w:color w:val="auto"/>
                <w:sz w:val="24"/>
              </w:rPr>
              <w:t>为主导控制方式。</w:t>
            </w:r>
            <w:r>
              <w:rPr>
                <w:bCs/>
                <w:color w:val="auto"/>
                <w:sz w:val="24"/>
              </w:rPr>
              <w:t>1</w:t>
            </w:r>
            <w:r>
              <w:rPr>
                <w:rFonts w:hint="eastAsia"/>
                <w:bCs/>
                <w:color w:val="auto"/>
                <w:sz w:val="24"/>
              </w:rPr>
              <w:t>台过滤器可全自动进行过滤、清洗、铺料等。即当过滤运行至</w:t>
            </w:r>
            <w:r>
              <w:rPr>
                <w:bCs/>
                <w:color w:val="auto"/>
                <w:sz w:val="24"/>
              </w:rPr>
              <w:t>8</w:t>
            </w:r>
            <w:r>
              <w:rPr>
                <w:rFonts w:hint="eastAsia"/>
                <w:bCs/>
                <w:color w:val="auto"/>
                <w:sz w:val="24"/>
              </w:rPr>
              <w:t>～</w:t>
            </w:r>
            <w:r>
              <w:rPr>
                <w:bCs/>
                <w:color w:val="auto"/>
                <w:sz w:val="24"/>
              </w:rPr>
              <w:t>24h</w:t>
            </w:r>
            <w:r>
              <w:rPr>
                <w:rFonts w:hint="eastAsia"/>
                <w:bCs/>
                <w:color w:val="auto"/>
                <w:sz w:val="24"/>
              </w:rPr>
              <w:t>后，再进行铺料过程，铺料完成后立即投入运行，由此往复运行。</w:t>
            </w:r>
          </w:p>
          <w:p>
            <w:pPr>
              <w:pStyle w:val="91"/>
              <w:spacing w:line="360" w:lineRule="auto"/>
              <w:ind w:firstLine="495" w:firstLineChars="0"/>
              <w:rPr>
                <w:bCs/>
                <w:color w:val="auto"/>
                <w:sz w:val="24"/>
              </w:rPr>
            </w:pPr>
            <w:r>
              <w:rPr>
                <w:rFonts w:hint="eastAsia"/>
                <w:bCs/>
                <w:color w:val="auto"/>
                <w:sz w:val="24"/>
              </w:rPr>
              <w:t>精细过滤装置不受来水浓度的变化而影响；自动反冲洗3-5分钟，铺料再生5分钟，恢复至到下次运行工作时，在20分钟内可自动铺上新的精细滤料。采用瞬间爆发状空气脱渣后，也节省了大量的反冲洗水，排出的污油泥及反冲洗水进入污水污泥罐，每三个月或半年清污池一次即可。本工艺设备不仅大大降低生产运行成本，而且大大减轻操作工人的工作负荷。该工艺主要如下：</w:t>
            </w:r>
          </w:p>
          <w:p>
            <w:pPr>
              <w:pStyle w:val="91"/>
              <w:spacing w:line="360" w:lineRule="auto"/>
              <w:ind w:firstLine="495" w:firstLineChars="0"/>
              <w:rPr>
                <w:bCs/>
                <w:color w:val="auto"/>
                <w:sz w:val="24"/>
              </w:rPr>
            </w:pPr>
            <w:r>
              <w:rPr>
                <w:rFonts w:hint="eastAsia"/>
                <w:bCs/>
                <w:color w:val="auto"/>
                <w:sz w:val="24"/>
              </w:rPr>
              <w:t>a.铺料：精细滤料混合液通过铺料槽水力搅拌后，经铺料泵加压至过滤器内，混合液从滤罐内部进入滤芯内，精细滤料被截留在滤布外表形成滤膜，混合液回流至铺料槽内，连续循环几分钟后，铺料结束。</w:t>
            </w:r>
          </w:p>
          <w:p>
            <w:pPr>
              <w:pStyle w:val="91"/>
              <w:spacing w:line="360" w:lineRule="auto"/>
              <w:ind w:firstLine="495" w:firstLineChars="0"/>
              <w:rPr>
                <w:bCs/>
                <w:color w:val="auto"/>
                <w:sz w:val="24"/>
              </w:rPr>
            </w:pPr>
            <w:r>
              <w:rPr>
                <w:rFonts w:hint="eastAsia"/>
                <w:bCs/>
                <w:color w:val="auto"/>
                <w:sz w:val="24"/>
              </w:rPr>
              <w:t>b.过滤：污水进入过滤器罐内，穿过精细滤料滤膜，悬浮杂质不断被截留，在此状态下由于过滤阻力的增大而产生水头损失从而导致流量减少,运行周期终止，即表明过滤终止(本系统过滤周期设定为8～24小时，根据现场调试后，最终确定运行周期)。</w:t>
            </w:r>
          </w:p>
          <w:p>
            <w:pPr>
              <w:pStyle w:val="91"/>
              <w:spacing w:line="360" w:lineRule="auto"/>
              <w:ind w:firstLine="495" w:firstLineChars="0"/>
              <w:rPr>
                <w:bCs/>
                <w:color w:val="auto"/>
                <w:sz w:val="24"/>
              </w:rPr>
            </w:pPr>
            <w:r>
              <w:rPr>
                <w:rFonts w:hint="eastAsia"/>
                <w:bCs/>
                <w:color w:val="auto"/>
                <w:sz w:val="24"/>
              </w:rPr>
              <w:t>c.清洗：当清洗完成后,对过滤器罐体内壁及滤芯进行冲洗,清洗介质为滤后清水,打开净水阀,再由清洗泵(也即铺料泵)加压,水从过滤器滤芯内部进入,进行清洗,本过程持续时间为几分钟，清洗完毕后把污水排尽。清洗结束后，该过滤器自动静止等待几分钟后，进行下次铺料过程，周而复始。</w:t>
            </w:r>
          </w:p>
          <w:p>
            <w:pPr>
              <w:pStyle w:val="91"/>
              <w:spacing w:line="360" w:lineRule="auto"/>
              <w:ind w:firstLine="495" w:firstLineChars="0"/>
              <w:rPr>
                <w:bCs/>
                <w:color w:val="auto"/>
                <w:sz w:val="24"/>
              </w:rPr>
            </w:pPr>
            <w:r>
              <w:rPr>
                <w:rFonts w:hint="eastAsia"/>
                <w:bCs/>
                <w:color w:val="auto"/>
                <w:sz w:val="24"/>
              </w:rPr>
              <w:t>C、高精度过滤器</w:t>
            </w:r>
          </w:p>
          <w:p>
            <w:pPr>
              <w:pStyle w:val="91"/>
              <w:spacing w:line="360" w:lineRule="auto"/>
              <w:ind w:firstLine="495" w:firstLineChars="0"/>
              <w:rPr>
                <w:bCs/>
                <w:color w:val="auto"/>
                <w:sz w:val="24"/>
              </w:rPr>
            </w:pPr>
            <w:r>
              <w:rPr>
                <w:rFonts w:hint="eastAsia"/>
                <w:bCs/>
                <w:color w:val="auto"/>
                <w:sz w:val="24"/>
              </w:rPr>
              <w:t>当处理水经过多孔滤芯时，水中的固体颗粒、胶体物质、悬浮物质及絮状物即被滤管截留。高精度过滤器可去除5μm以上的的微细物质，通过滤器可获得质量较高的清水。</w:t>
            </w:r>
          </w:p>
          <w:p>
            <w:pPr>
              <w:pStyle w:val="91"/>
              <w:spacing w:line="360" w:lineRule="auto"/>
              <w:ind w:firstLine="495" w:firstLineChars="0"/>
              <w:rPr>
                <w:bCs/>
                <w:color w:val="auto"/>
                <w:sz w:val="24"/>
              </w:rPr>
            </w:pPr>
            <w:r>
              <w:rPr>
                <w:rFonts w:hint="eastAsia"/>
                <w:bCs/>
                <w:color w:val="auto"/>
                <w:sz w:val="24"/>
              </w:rPr>
              <w:t>随着过滤过程的进行，滤芯所截留的悬浮物在其表面形成“滤膜”，使过滤阻力逐渐增大。当过滤阻力增大至一定值时，可以终止过滤器的运行。过滤终止后更换滤芯（滤芯均为一次性滤芯，约15-30d更换），使过滤器重新恢复截留悬浮物料的能力。</w:t>
            </w:r>
          </w:p>
          <w:p>
            <w:pPr>
              <w:pStyle w:val="91"/>
              <w:spacing w:line="360" w:lineRule="auto"/>
              <w:ind w:firstLine="495" w:firstLineChars="0"/>
              <w:rPr>
                <w:bCs/>
                <w:color w:val="auto"/>
                <w:sz w:val="24"/>
              </w:rPr>
            </w:pPr>
            <w:r>
              <w:rPr>
                <w:rFonts w:hint="eastAsia"/>
                <w:bCs/>
                <w:color w:val="auto"/>
                <w:sz w:val="24"/>
              </w:rPr>
              <w:t>④出水</w:t>
            </w:r>
          </w:p>
          <w:p>
            <w:pPr>
              <w:pStyle w:val="91"/>
              <w:spacing w:line="360" w:lineRule="auto"/>
              <w:ind w:firstLine="495" w:firstLineChars="0"/>
              <w:rPr>
                <w:bCs/>
                <w:color w:val="auto"/>
                <w:sz w:val="24"/>
              </w:rPr>
            </w:pPr>
            <w:r>
              <w:rPr>
                <w:rFonts w:hint="eastAsia"/>
                <w:bCs/>
                <w:color w:val="auto"/>
                <w:sz w:val="24"/>
              </w:rPr>
              <w:t>出水存储在净化水箱，并为污水处理装置的反冲洗用水提供水源；水箱联通并分别设置液位计，停留时间为16h。</w:t>
            </w:r>
          </w:p>
          <w:p>
            <w:pPr>
              <w:pStyle w:val="91"/>
              <w:spacing w:line="360" w:lineRule="auto"/>
              <w:ind w:firstLine="495" w:firstLineChars="0"/>
              <w:rPr>
                <w:bCs/>
                <w:color w:val="auto"/>
                <w:sz w:val="24"/>
              </w:rPr>
            </w:pPr>
            <w:r>
              <w:rPr>
                <w:rFonts w:hint="eastAsia"/>
                <w:bCs/>
                <w:color w:val="auto"/>
                <w:sz w:val="24"/>
              </w:rPr>
              <w:t>⑤污水污泥收集</w:t>
            </w:r>
          </w:p>
          <w:p>
            <w:pPr>
              <w:pStyle w:val="91"/>
              <w:spacing w:line="360" w:lineRule="auto"/>
              <w:ind w:firstLine="495" w:firstLineChars="0"/>
              <w:rPr>
                <w:bCs/>
                <w:color w:val="auto"/>
                <w:sz w:val="24"/>
              </w:rPr>
            </w:pPr>
            <w:r>
              <w:rPr>
                <w:rFonts w:hint="eastAsia"/>
                <w:bCs/>
                <w:color w:val="auto"/>
                <w:sz w:val="24"/>
              </w:rPr>
              <w:t>全套装置生产过程中产生的反冲洗水和污油泥收集到污水污泥罐。</w:t>
            </w:r>
          </w:p>
          <w:p>
            <w:pPr>
              <w:pStyle w:val="91"/>
              <w:spacing w:line="360" w:lineRule="auto"/>
              <w:ind w:firstLine="495" w:firstLineChars="0"/>
              <w:rPr>
                <w:bCs/>
                <w:color w:val="auto"/>
                <w:sz w:val="24"/>
              </w:rPr>
            </w:pPr>
            <w:r>
              <w:rPr>
                <w:rFonts w:hint="eastAsia"/>
                <w:bCs/>
                <w:color w:val="auto"/>
                <w:sz w:val="24"/>
              </w:rPr>
              <w:t>根据设备厂家提供的同工艺设备正常运行期各工段设计去除效率经验数据，本项目设备在正常运行的前提下可达到《碎屑岩油藏注水水质指标技术要求及分析方法》（SY/T5329-2022）一级标准。各工段去除效率见表2-13。</w:t>
            </w:r>
          </w:p>
          <w:p>
            <w:pPr>
              <w:pStyle w:val="33"/>
              <w:ind w:left="0" w:leftChars="0" w:firstLine="0"/>
              <w:jc w:val="center"/>
              <w:rPr>
                <w:rFonts w:ascii="黑体" w:hAnsi="黑体" w:eastAsia="黑体" w:cs="黑体"/>
                <w:color w:val="auto"/>
                <w:sz w:val="21"/>
              </w:rPr>
            </w:pPr>
            <w:r>
              <w:rPr>
                <w:rFonts w:hint="eastAsia" w:ascii="黑体" w:hAnsi="黑体" w:eastAsia="黑体" w:cs="黑体"/>
                <w:color w:val="auto"/>
                <w:sz w:val="21"/>
              </w:rPr>
              <w:t>表2-13  各工段去除效率一览表</w:t>
            </w:r>
          </w:p>
          <w:tbl>
            <w:tblPr>
              <w:tblStyle w:val="34"/>
              <w:tblW w:w="495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487"/>
              <w:gridCol w:w="1620"/>
              <w:gridCol w:w="1517"/>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pct"/>
                  <w:vAlign w:val="center"/>
                </w:tcPr>
                <w:p>
                  <w:pPr>
                    <w:adjustRightInd w:val="0"/>
                    <w:snapToGrid w:val="0"/>
                    <w:jc w:val="center"/>
                    <w:rPr>
                      <w:color w:val="auto"/>
                      <w:szCs w:val="21"/>
                    </w:rPr>
                  </w:pPr>
                  <w:r>
                    <w:rPr>
                      <w:rFonts w:hint="eastAsia"/>
                      <w:color w:val="auto"/>
                      <w:szCs w:val="21"/>
                    </w:rPr>
                    <w:t>主要处理单元</w:t>
                  </w:r>
                </w:p>
              </w:tc>
              <w:tc>
                <w:tcPr>
                  <w:tcW w:w="925" w:type="pct"/>
                  <w:vAlign w:val="center"/>
                </w:tcPr>
                <w:p>
                  <w:pPr>
                    <w:adjustRightInd w:val="0"/>
                    <w:snapToGrid w:val="0"/>
                    <w:jc w:val="center"/>
                    <w:rPr>
                      <w:color w:val="auto"/>
                      <w:szCs w:val="21"/>
                    </w:rPr>
                  </w:pPr>
                  <w:r>
                    <w:rPr>
                      <w:rFonts w:hint="eastAsia"/>
                      <w:color w:val="auto"/>
                      <w:szCs w:val="21"/>
                    </w:rPr>
                    <w:t>设计指标</w:t>
                  </w:r>
                </w:p>
              </w:tc>
              <w:tc>
                <w:tcPr>
                  <w:tcW w:w="1008" w:type="pct"/>
                  <w:vAlign w:val="center"/>
                </w:tcPr>
                <w:p>
                  <w:pPr>
                    <w:adjustRightInd w:val="0"/>
                    <w:snapToGrid w:val="0"/>
                    <w:jc w:val="center"/>
                    <w:rPr>
                      <w:color w:val="auto"/>
                      <w:szCs w:val="21"/>
                    </w:rPr>
                  </w:pPr>
                  <w:r>
                    <w:rPr>
                      <w:rFonts w:hint="eastAsia"/>
                      <w:color w:val="auto"/>
                      <w:szCs w:val="21"/>
                    </w:rPr>
                    <w:t>含油量</w:t>
                  </w:r>
                </w:p>
              </w:tc>
              <w:tc>
                <w:tcPr>
                  <w:tcW w:w="944" w:type="pct"/>
                  <w:vAlign w:val="center"/>
                </w:tcPr>
                <w:p>
                  <w:pPr>
                    <w:adjustRightInd w:val="0"/>
                    <w:snapToGrid w:val="0"/>
                    <w:jc w:val="center"/>
                    <w:rPr>
                      <w:color w:val="auto"/>
                      <w:szCs w:val="21"/>
                    </w:rPr>
                  </w:pPr>
                  <w:r>
                    <w:rPr>
                      <w:rFonts w:hint="eastAsia"/>
                      <w:color w:val="auto"/>
                      <w:szCs w:val="21"/>
                    </w:rPr>
                    <w:t>悬浮物</w:t>
                  </w:r>
                </w:p>
              </w:tc>
              <w:tc>
                <w:tcPr>
                  <w:tcW w:w="1270" w:type="pct"/>
                  <w:vAlign w:val="center"/>
                </w:tcPr>
                <w:p>
                  <w:pPr>
                    <w:adjustRightInd w:val="0"/>
                    <w:snapToGrid w:val="0"/>
                    <w:jc w:val="center"/>
                    <w:rPr>
                      <w:color w:val="auto"/>
                      <w:szCs w:val="21"/>
                    </w:rPr>
                  </w:pPr>
                  <w:r>
                    <w:rPr>
                      <w:rFonts w:hint="eastAsia"/>
                      <w:color w:val="auto"/>
                      <w:szCs w:val="21"/>
                    </w:rPr>
                    <w:t>粒径中值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Merge w:val="restart"/>
                  <w:vAlign w:val="center"/>
                </w:tcPr>
                <w:p>
                  <w:pPr>
                    <w:adjustRightInd w:val="0"/>
                    <w:snapToGrid w:val="0"/>
                    <w:jc w:val="center"/>
                    <w:rPr>
                      <w:color w:val="auto"/>
                      <w:szCs w:val="21"/>
                    </w:rPr>
                  </w:pPr>
                  <w:r>
                    <w:rPr>
                      <w:rFonts w:hint="eastAsia"/>
                      <w:color w:val="auto"/>
                      <w:szCs w:val="21"/>
                    </w:rPr>
                    <w:t>卸水池</w:t>
                  </w:r>
                </w:p>
              </w:tc>
              <w:tc>
                <w:tcPr>
                  <w:tcW w:w="925" w:type="pct"/>
                  <w:vAlign w:val="center"/>
                </w:tcPr>
                <w:p>
                  <w:pPr>
                    <w:adjustRightInd w:val="0"/>
                    <w:snapToGrid w:val="0"/>
                    <w:jc w:val="center"/>
                    <w:rPr>
                      <w:color w:val="auto"/>
                      <w:szCs w:val="21"/>
                    </w:rPr>
                  </w:pPr>
                  <w:r>
                    <w:rPr>
                      <w:rFonts w:hint="eastAsia"/>
                      <w:color w:val="auto"/>
                      <w:szCs w:val="21"/>
                    </w:rPr>
                    <w:t>进水（mg/L）</w:t>
                  </w:r>
                </w:p>
              </w:tc>
              <w:tc>
                <w:tcPr>
                  <w:tcW w:w="1008" w:type="pct"/>
                  <w:vAlign w:val="center"/>
                </w:tcPr>
                <w:p>
                  <w:pPr>
                    <w:adjustRightInd w:val="0"/>
                    <w:snapToGrid w:val="0"/>
                    <w:jc w:val="center"/>
                    <w:rPr>
                      <w:color w:val="auto"/>
                      <w:szCs w:val="21"/>
                    </w:rPr>
                  </w:pPr>
                  <w:r>
                    <w:rPr>
                      <w:rFonts w:hint="eastAsia"/>
                      <w:color w:val="auto"/>
                      <w:szCs w:val="21"/>
                    </w:rPr>
                    <w:t>~600</w:t>
                  </w:r>
                </w:p>
              </w:tc>
              <w:tc>
                <w:tcPr>
                  <w:tcW w:w="944" w:type="pct"/>
                  <w:vAlign w:val="center"/>
                </w:tcPr>
                <w:p>
                  <w:pPr>
                    <w:adjustRightInd w:val="0"/>
                    <w:snapToGrid w:val="0"/>
                    <w:jc w:val="center"/>
                    <w:rPr>
                      <w:color w:val="auto"/>
                      <w:szCs w:val="21"/>
                    </w:rPr>
                  </w:pPr>
                  <w:r>
                    <w:rPr>
                      <w:rFonts w:hint="eastAsia"/>
                      <w:color w:val="auto"/>
                      <w:szCs w:val="21"/>
                    </w:rPr>
                    <w:t>~1500</w:t>
                  </w:r>
                </w:p>
              </w:tc>
              <w:tc>
                <w:tcPr>
                  <w:tcW w:w="1270" w:type="pct"/>
                  <w:vAlign w:val="center"/>
                </w:tcPr>
                <w:p>
                  <w:pPr>
                    <w:adjustRightInd w:val="0"/>
                    <w:snapToGrid w:val="0"/>
                    <w:jc w:val="center"/>
                    <w:rPr>
                      <w:color w:val="auto"/>
                      <w:szCs w:val="21"/>
                    </w:rPr>
                  </w:pPr>
                  <w:r>
                    <w:rPr>
                      <w:rFonts w:hint="eastAsia"/>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Merge w:val="continue"/>
                  <w:vAlign w:val="center"/>
                </w:tcPr>
                <w:p>
                  <w:pPr>
                    <w:adjustRightInd w:val="0"/>
                    <w:snapToGrid w:val="0"/>
                    <w:jc w:val="center"/>
                    <w:rPr>
                      <w:color w:val="auto"/>
                      <w:szCs w:val="21"/>
                    </w:rPr>
                  </w:pPr>
                </w:p>
              </w:tc>
              <w:tc>
                <w:tcPr>
                  <w:tcW w:w="925" w:type="pct"/>
                  <w:vAlign w:val="center"/>
                </w:tcPr>
                <w:p>
                  <w:pPr>
                    <w:adjustRightInd w:val="0"/>
                    <w:snapToGrid w:val="0"/>
                    <w:jc w:val="center"/>
                    <w:rPr>
                      <w:color w:val="auto"/>
                      <w:szCs w:val="21"/>
                    </w:rPr>
                  </w:pPr>
                  <w:r>
                    <w:rPr>
                      <w:rFonts w:hint="eastAsia"/>
                      <w:color w:val="auto"/>
                      <w:szCs w:val="21"/>
                    </w:rPr>
                    <w:t>出水（mg/L）</w:t>
                  </w:r>
                </w:p>
              </w:tc>
              <w:tc>
                <w:tcPr>
                  <w:tcW w:w="1008" w:type="pct"/>
                  <w:vAlign w:val="center"/>
                </w:tcPr>
                <w:p>
                  <w:pPr>
                    <w:adjustRightInd w:val="0"/>
                    <w:snapToGrid w:val="0"/>
                    <w:jc w:val="center"/>
                    <w:rPr>
                      <w:color w:val="auto"/>
                      <w:szCs w:val="21"/>
                    </w:rPr>
                  </w:pPr>
                  <w:r>
                    <w:rPr>
                      <w:rFonts w:hint="eastAsia"/>
                      <w:color w:val="auto"/>
                      <w:szCs w:val="21"/>
                    </w:rPr>
                    <w:t>420</w:t>
                  </w:r>
                </w:p>
              </w:tc>
              <w:tc>
                <w:tcPr>
                  <w:tcW w:w="944" w:type="pct"/>
                  <w:vAlign w:val="center"/>
                </w:tcPr>
                <w:p>
                  <w:pPr>
                    <w:adjustRightInd w:val="0"/>
                    <w:snapToGrid w:val="0"/>
                    <w:jc w:val="center"/>
                    <w:rPr>
                      <w:color w:val="auto"/>
                      <w:szCs w:val="21"/>
                    </w:rPr>
                  </w:pPr>
                  <w:r>
                    <w:rPr>
                      <w:rFonts w:hint="eastAsia"/>
                      <w:color w:val="auto"/>
                      <w:szCs w:val="21"/>
                    </w:rPr>
                    <w:t>1500</w:t>
                  </w:r>
                </w:p>
              </w:tc>
              <w:tc>
                <w:tcPr>
                  <w:tcW w:w="1270" w:type="pct"/>
                  <w:vAlign w:val="center"/>
                </w:tcPr>
                <w:p>
                  <w:pPr>
                    <w:adjustRightInd w:val="0"/>
                    <w:snapToGrid w:val="0"/>
                    <w:jc w:val="center"/>
                    <w:rPr>
                      <w:color w:val="auto"/>
                      <w:szCs w:val="21"/>
                    </w:rPr>
                  </w:pPr>
                  <w:r>
                    <w:rPr>
                      <w:rFonts w:hint="eastAsia"/>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Merge w:val="continue"/>
                  <w:vAlign w:val="center"/>
                </w:tcPr>
                <w:p>
                  <w:pPr>
                    <w:adjustRightInd w:val="0"/>
                    <w:snapToGrid w:val="0"/>
                    <w:jc w:val="center"/>
                    <w:rPr>
                      <w:color w:val="auto"/>
                      <w:szCs w:val="21"/>
                    </w:rPr>
                  </w:pPr>
                </w:p>
              </w:tc>
              <w:tc>
                <w:tcPr>
                  <w:tcW w:w="925" w:type="pct"/>
                  <w:vAlign w:val="center"/>
                </w:tcPr>
                <w:p>
                  <w:pPr>
                    <w:adjustRightInd w:val="0"/>
                    <w:snapToGrid w:val="0"/>
                    <w:jc w:val="center"/>
                    <w:rPr>
                      <w:color w:val="auto"/>
                      <w:szCs w:val="21"/>
                    </w:rPr>
                  </w:pPr>
                  <w:r>
                    <w:rPr>
                      <w:rFonts w:hint="eastAsia"/>
                      <w:color w:val="auto"/>
                      <w:szCs w:val="21"/>
                    </w:rPr>
                    <w:t>去除率%</w:t>
                  </w:r>
                </w:p>
              </w:tc>
              <w:tc>
                <w:tcPr>
                  <w:tcW w:w="1008" w:type="pct"/>
                  <w:vAlign w:val="center"/>
                </w:tcPr>
                <w:p>
                  <w:pPr>
                    <w:adjustRightInd w:val="0"/>
                    <w:snapToGrid w:val="0"/>
                    <w:jc w:val="center"/>
                    <w:rPr>
                      <w:color w:val="auto"/>
                      <w:szCs w:val="21"/>
                    </w:rPr>
                  </w:pPr>
                  <w:r>
                    <w:rPr>
                      <w:rFonts w:hint="eastAsia"/>
                      <w:color w:val="auto"/>
                      <w:szCs w:val="21"/>
                    </w:rPr>
                    <w:t>30</w:t>
                  </w:r>
                </w:p>
              </w:tc>
              <w:tc>
                <w:tcPr>
                  <w:tcW w:w="944" w:type="pct"/>
                  <w:vAlign w:val="center"/>
                </w:tcPr>
                <w:p>
                  <w:pPr>
                    <w:adjustRightInd w:val="0"/>
                    <w:snapToGrid w:val="0"/>
                    <w:jc w:val="center"/>
                    <w:rPr>
                      <w:color w:val="auto"/>
                      <w:szCs w:val="21"/>
                    </w:rPr>
                  </w:pPr>
                  <w:r>
                    <w:rPr>
                      <w:rFonts w:hint="eastAsia"/>
                      <w:color w:val="auto"/>
                      <w:szCs w:val="21"/>
                    </w:rPr>
                    <w:t>0</w:t>
                  </w:r>
                </w:p>
              </w:tc>
              <w:tc>
                <w:tcPr>
                  <w:tcW w:w="1270" w:type="pct"/>
                  <w:vAlign w:val="center"/>
                </w:tcPr>
                <w:p>
                  <w:pPr>
                    <w:adjustRightInd w:val="0"/>
                    <w:snapToGrid w:val="0"/>
                    <w:jc w:val="center"/>
                    <w:rPr>
                      <w:color w:val="auto"/>
                      <w:szCs w:val="21"/>
                    </w:rPr>
                  </w:pPr>
                  <w:r>
                    <w:rPr>
                      <w:rFonts w:hint="eastAsia"/>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Merge w:val="restart"/>
                  <w:vAlign w:val="center"/>
                </w:tcPr>
                <w:p>
                  <w:pPr>
                    <w:adjustRightInd w:val="0"/>
                    <w:snapToGrid w:val="0"/>
                    <w:jc w:val="center"/>
                    <w:rPr>
                      <w:color w:val="auto"/>
                      <w:szCs w:val="21"/>
                    </w:rPr>
                  </w:pPr>
                  <w:r>
                    <w:rPr>
                      <w:rFonts w:hint="eastAsia"/>
                      <w:color w:val="auto"/>
                      <w:szCs w:val="21"/>
                    </w:rPr>
                    <w:t>缓冲水箱</w:t>
                  </w:r>
                </w:p>
              </w:tc>
              <w:tc>
                <w:tcPr>
                  <w:tcW w:w="925" w:type="pct"/>
                  <w:vAlign w:val="center"/>
                </w:tcPr>
                <w:p>
                  <w:pPr>
                    <w:adjustRightInd w:val="0"/>
                    <w:snapToGrid w:val="0"/>
                    <w:jc w:val="center"/>
                    <w:rPr>
                      <w:color w:val="auto"/>
                      <w:szCs w:val="21"/>
                    </w:rPr>
                  </w:pPr>
                  <w:r>
                    <w:rPr>
                      <w:rFonts w:hint="eastAsia"/>
                      <w:color w:val="auto"/>
                      <w:szCs w:val="21"/>
                    </w:rPr>
                    <w:t>进水（mg/L）</w:t>
                  </w:r>
                </w:p>
              </w:tc>
              <w:tc>
                <w:tcPr>
                  <w:tcW w:w="1008" w:type="pct"/>
                  <w:vAlign w:val="center"/>
                </w:tcPr>
                <w:p>
                  <w:pPr>
                    <w:adjustRightInd w:val="0"/>
                    <w:snapToGrid w:val="0"/>
                    <w:jc w:val="center"/>
                    <w:rPr>
                      <w:color w:val="auto"/>
                      <w:szCs w:val="21"/>
                    </w:rPr>
                  </w:pPr>
                  <w:r>
                    <w:rPr>
                      <w:rFonts w:hint="eastAsia"/>
                      <w:color w:val="auto"/>
                      <w:szCs w:val="21"/>
                    </w:rPr>
                    <w:t>420</w:t>
                  </w:r>
                </w:p>
              </w:tc>
              <w:tc>
                <w:tcPr>
                  <w:tcW w:w="944" w:type="pct"/>
                  <w:vAlign w:val="center"/>
                </w:tcPr>
                <w:p>
                  <w:pPr>
                    <w:adjustRightInd w:val="0"/>
                    <w:snapToGrid w:val="0"/>
                    <w:jc w:val="center"/>
                    <w:rPr>
                      <w:color w:val="auto"/>
                      <w:szCs w:val="21"/>
                    </w:rPr>
                  </w:pPr>
                  <w:r>
                    <w:rPr>
                      <w:rFonts w:hint="eastAsia"/>
                      <w:color w:val="auto"/>
                      <w:szCs w:val="21"/>
                    </w:rPr>
                    <w:t>1500</w:t>
                  </w:r>
                </w:p>
              </w:tc>
              <w:tc>
                <w:tcPr>
                  <w:tcW w:w="1270" w:type="pct"/>
                  <w:vAlign w:val="center"/>
                </w:tcPr>
                <w:p>
                  <w:pPr>
                    <w:adjustRightInd w:val="0"/>
                    <w:snapToGrid w:val="0"/>
                    <w:jc w:val="center"/>
                    <w:rPr>
                      <w:color w:val="auto"/>
                      <w:szCs w:val="21"/>
                    </w:rPr>
                  </w:pPr>
                  <w:r>
                    <w:rPr>
                      <w:rFonts w:hint="eastAsia"/>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Merge w:val="continue"/>
                  <w:vAlign w:val="center"/>
                </w:tcPr>
                <w:p>
                  <w:pPr>
                    <w:adjustRightInd w:val="0"/>
                    <w:snapToGrid w:val="0"/>
                    <w:jc w:val="center"/>
                    <w:rPr>
                      <w:color w:val="auto"/>
                      <w:szCs w:val="21"/>
                    </w:rPr>
                  </w:pPr>
                </w:p>
              </w:tc>
              <w:tc>
                <w:tcPr>
                  <w:tcW w:w="925" w:type="pct"/>
                  <w:vAlign w:val="center"/>
                </w:tcPr>
                <w:p>
                  <w:pPr>
                    <w:adjustRightInd w:val="0"/>
                    <w:snapToGrid w:val="0"/>
                    <w:jc w:val="center"/>
                    <w:rPr>
                      <w:color w:val="auto"/>
                      <w:szCs w:val="21"/>
                    </w:rPr>
                  </w:pPr>
                  <w:r>
                    <w:rPr>
                      <w:rFonts w:hint="eastAsia"/>
                      <w:color w:val="auto"/>
                      <w:szCs w:val="21"/>
                    </w:rPr>
                    <w:t>出水（mg/L）</w:t>
                  </w:r>
                </w:p>
              </w:tc>
              <w:tc>
                <w:tcPr>
                  <w:tcW w:w="1008" w:type="pct"/>
                  <w:vAlign w:val="center"/>
                </w:tcPr>
                <w:p>
                  <w:pPr>
                    <w:adjustRightInd w:val="0"/>
                    <w:snapToGrid w:val="0"/>
                    <w:jc w:val="center"/>
                    <w:rPr>
                      <w:color w:val="auto"/>
                      <w:szCs w:val="21"/>
                    </w:rPr>
                  </w:pPr>
                  <w:r>
                    <w:rPr>
                      <w:rFonts w:hint="eastAsia"/>
                      <w:color w:val="auto"/>
                      <w:szCs w:val="21"/>
                    </w:rPr>
                    <w:t>420</w:t>
                  </w:r>
                </w:p>
              </w:tc>
              <w:tc>
                <w:tcPr>
                  <w:tcW w:w="944" w:type="pct"/>
                  <w:vAlign w:val="center"/>
                </w:tcPr>
                <w:p>
                  <w:pPr>
                    <w:adjustRightInd w:val="0"/>
                    <w:snapToGrid w:val="0"/>
                    <w:jc w:val="center"/>
                    <w:rPr>
                      <w:color w:val="auto"/>
                      <w:szCs w:val="21"/>
                    </w:rPr>
                  </w:pPr>
                  <w:r>
                    <w:rPr>
                      <w:rFonts w:hint="eastAsia"/>
                      <w:color w:val="auto"/>
                      <w:szCs w:val="21"/>
                    </w:rPr>
                    <w:t>1050</w:t>
                  </w:r>
                </w:p>
              </w:tc>
              <w:tc>
                <w:tcPr>
                  <w:tcW w:w="1270" w:type="pct"/>
                  <w:vAlign w:val="center"/>
                </w:tcPr>
                <w:p>
                  <w:pPr>
                    <w:adjustRightInd w:val="0"/>
                    <w:snapToGrid w:val="0"/>
                    <w:jc w:val="center"/>
                    <w:rPr>
                      <w:color w:val="auto"/>
                      <w:szCs w:val="21"/>
                    </w:rPr>
                  </w:pPr>
                  <w:r>
                    <w:rPr>
                      <w:rFonts w:hint="eastAsia"/>
                      <w:color w:val="auto"/>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Merge w:val="continue"/>
                  <w:vAlign w:val="center"/>
                </w:tcPr>
                <w:p>
                  <w:pPr>
                    <w:adjustRightInd w:val="0"/>
                    <w:snapToGrid w:val="0"/>
                    <w:jc w:val="center"/>
                    <w:rPr>
                      <w:color w:val="auto"/>
                      <w:szCs w:val="21"/>
                    </w:rPr>
                  </w:pPr>
                </w:p>
              </w:tc>
              <w:tc>
                <w:tcPr>
                  <w:tcW w:w="925" w:type="pct"/>
                  <w:vAlign w:val="center"/>
                </w:tcPr>
                <w:p>
                  <w:pPr>
                    <w:adjustRightInd w:val="0"/>
                    <w:snapToGrid w:val="0"/>
                    <w:jc w:val="center"/>
                    <w:rPr>
                      <w:color w:val="auto"/>
                      <w:szCs w:val="21"/>
                    </w:rPr>
                  </w:pPr>
                  <w:r>
                    <w:rPr>
                      <w:rFonts w:hint="eastAsia"/>
                      <w:color w:val="auto"/>
                      <w:szCs w:val="21"/>
                    </w:rPr>
                    <w:t>去除率%</w:t>
                  </w:r>
                </w:p>
              </w:tc>
              <w:tc>
                <w:tcPr>
                  <w:tcW w:w="1008" w:type="pct"/>
                  <w:vAlign w:val="center"/>
                </w:tcPr>
                <w:p>
                  <w:pPr>
                    <w:adjustRightInd w:val="0"/>
                    <w:snapToGrid w:val="0"/>
                    <w:jc w:val="center"/>
                    <w:rPr>
                      <w:color w:val="auto"/>
                      <w:szCs w:val="21"/>
                    </w:rPr>
                  </w:pPr>
                  <w:r>
                    <w:rPr>
                      <w:rFonts w:hint="eastAsia"/>
                      <w:color w:val="auto"/>
                      <w:szCs w:val="21"/>
                    </w:rPr>
                    <w:t>0</w:t>
                  </w:r>
                </w:p>
              </w:tc>
              <w:tc>
                <w:tcPr>
                  <w:tcW w:w="944" w:type="pct"/>
                  <w:vAlign w:val="center"/>
                </w:tcPr>
                <w:p>
                  <w:pPr>
                    <w:adjustRightInd w:val="0"/>
                    <w:snapToGrid w:val="0"/>
                    <w:jc w:val="center"/>
                    <w:rPr>
                      <w:color w:val="auto"/>
                      <w:szCs w:val="21"/>
                    </w:rPr>
                  </w:pPr>
                  <w:r>
                    <w:rPr>
                      <w:rFonts w:hint="eastAsia"/>
                      <w:color w:val="auto"/>
                      <w:szCs w:val="21"/>
                    </w:rPr>
                    <w:t>30</w:t>
                  </w:r>
                </w:p>
              </w:tc>
              <w:tc>
                <w:tcPr>
                  <w:tcW w:w="1270" w:type="pct"/>
                  <w:vAlign w:val="center"/>
                </w:tcPr>
                <w:p>
                  <w:pPr>
                    <w:adjustRightInd w:val="0"/>
                    <w:snapToGrid w:val="0"/>
                    <w:jc w:val="center"/>
                    <w:rPr>
                      <w:color w:val="auto"/>
                      <w:szCs w:val="21"/>
                    </w:rPr>
                  </w:pPr>
                  <w:r>
                    <w:rPr>
                      <w:rFonts w:hint="eastAsia"/>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Merge w:val="restart"/>
                  <w:vAlign w:val="center"/>
                </w:tcPr>
                <w:p>
                  <w:pPr>
                    <w:adjustRightInd w:val="0"/>
                    <w:snapToGrid w:val="0"/>
                    <w:jc w:val="center"/>
                    <w:rPr>
                      <w:color w:val="auto"/>
                      <w:szCs w:val="21"/>
                    </w:rPr>
                  </w:pPr>
                  <w:r>
                    <w:rPr>
                      <w:rFonts w:hint="eastAsia"/>
                      <w:color w:val="auto"/>
                      <w:szCs w:val="21"/>
                    </w:rPr>
                    <w:t>一级：加药撬</w:t>
                  </w:r>
                </w:p>
              </w:tc>
              <w:tc>
                <w:tcPr>
                  <w:tcW w:w="925" w:type="pct"/>
                  <w:vAlign w:val="center"/>
                </w:tcPr>
                <w:p>
                  <w:pPr>
                    <w:adjustRightInd w:val="0"/>
                    <w:snapToGrid w:val="0"/>
                    <w:jc w:val="center"/>
                    <w:rPr>
                      <w:color w:val="auto"/>
                      <w:szCs w:val="21"/>
                    </w:rPr>
                  </w:pPr>
                  <w:r>
                    <w:rPr>
                      <w:rFonts w:hint="eastAsia"/>
                      <w:color w:val="auto"/>
                      <w:szCs w:val="21"/>
                    </w:rPr>
                    <w:t>进水（mg/L）</w:t>
                  </w:r>
                </w:p>
              </w:tc>
              <w:tc>
                <w:tcPr>
                  <w:tcW w:w="1008" w:type="pct"/>
                  <w:vAlign w:val="center"/>
                </w:tcPr>
                <w:p>
                  <w:pPr>
                    <w:adjustRightInd w:val="0"/>
                    <w:snapToGrid w:val="0"/>
                    <w:jc w:val="center"/>
                    <w:rPr>
                      <w:color w:val="auto"/>
                      <w:szCs w:val="21"/>
                    </w:rPr>
                  </w:pPr>
                  <w:r>
                    <w:rPr>
                      <w:rFonts w:hint="eastAsia"/>
                      <w:color w:val="auto"/>
                      <w:szCs w:val="21"/>
                    </w:rPr>
                    <w:t>420</w:t>
                  </w:r>
                </w:p>
              </w:tc>
              <w:tc>
                <w:tcPr>
                  <w:tcW w:w="944" w:type="pct"/>
                  <w:vAlign w:val="center"/>
                </w:tcPr>
                <w:p>
                  <w:pPr>
                    <w:adjustRightInd w:val="0"/>
                    <w:snapToGrid w:val="0"/>
                    <w:jc w:val="center"/>
                    <w:rPr>
                      <w:color w:val="auto"/>
                      <w:szCs w:val="21"/>
                    </w:rPr>
                  </w:pPr>
                  <w:r>
                    <w:rPr>
                      <w:rFonts w:hint="eastAsia"/>
                      <w:color w:val="auto"/>
                      <w:szCs w:val="21"/>
                    </w:rPr>
                    <w:t>1050</w:t>
                  </w:r>
                </w:p>
              </w:tc>
              <w:tc>
                <w:tcPr>
                  <w:tcW w:w="1270" w:type="pct"/>
                  <w:vAlign w:val="center"/>
                </w:tcPr>
                <w:p>
                  <w:pPr>
                    <w:adjustRightInd w:val="0"/>
                    <w:snapToGrid w:val="0"/>
                    <w:jc w:val="center"/>
                    <w:rPr>
                      <w:color w:val="auto"/>
                      <w:szCs w:val="21"/>
                    </w:rPr>
                  </w:pPr>
                  <w:r>
                    <w:rPr>
                      <w:rFonts w:hint="eastAsia"/>
                      <w:color w:val="auto"/>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Merge w:val="continue"/>
                  <w:vAlign w:val="center"/>
                </w:tcPr>
                <w:p>
                  <w:pPr>
                    <w:adjustRightInd w:val="0"/>
                    <w:snapToGrid w:val="0"/>
                    <w:jc w:val="center"/>
                    <w:rPr>
                      <w:color w:val="auto"/>
                      <w:szCs w:val="21"/>
                    </w:rPr>
                  </w:pPr>
                </w:p>
              </w:tc>
              <w:tc>
                <w:tcPr>
                  <w:tcW w:w="925" w:type="pct"/>
                  <w:vAlign w:val="center"/>
                </w:tcPr>
                <w:p>
                  <w:pPr>
                    <w:adjustRightInd w:val="0"/>
                    <w:snapToGrid w:val="0"/>
                    <w:jc w:val="center"/>
                    <w:rPr>
                      <w:color w:val="auto"/>
                      <w:szCs w:val="21"/>
                    </w:rPr>
                  </w:pPr>
                  <w:r>
                    <w:rPr>
                      <w:rFonts w:hint="eastAsia"/>
                      <w:color w:val="auto"/>
                      <w:szCs w:val="21"/>
                    </w:rPr>
                    <w:t>出水（mg/L）</w:t>
                  </w:r>
                </w:p>
              </w:tc>
              <w:tc>
                <w:tcPr>
                  <w:tcW w:w="1008" w:type="pct"/>
                  <w:vAlign w:val="center"/>
                </w:tcPr>
                <w:p>
                  <w:pPr>
                    <w:adjustRightInd w:val="0"/>
                    <w:snapToGrid w:val="0"/>
                    <w:jc w:val="center"/>
                    <w:rPr>
                      <w:color w:val="auto"/>
                      <w:szCs w:val="21"/>
                    </w:rPr>
                  </w:pPr>
                  <w:r>
                    <w:rPr>
                      <w:rFonts w:hint="eastAsia"/>
                      <w:color w:val="auto"/>
                      <w:szCs w:val="21"/>
                    </w:rPr>
                    <w:t>-</w:t>
                  </w:r>
                </w:p>
              </w:tc>
              <w:tc>
                <w:tcPr>
                  <w:tcW w:w="944" w:type="pct"/>
                  <w:vAlign w:val="center"/>
                </w:tcPr>
                <w:p>
                  <w:pPr>
                    <w:adjustRightInd w:val="0"/>
                    <w:snapToGrid w:val="0"/>
                    <w:jc w:val="center"/>
                    <w:rPr>
                      <w:color w:val="auto"/>
                      <w:szCs w:val="21"/>
                    </w:rPr>
                  </w:pPr>
                  <w:r>
                    <w:rPr>
                      <w:rFonts w:hint="eastAsia"/>
                      <w:color w:val="auto"/>
                      <w:szCs w:val="21"/>
                    </w:rPr>
                    <w:t>-</w:t>
                  </w:r>
                </w:p>
              </w:tc>
              <w:tc>
                <w:tcPr>
                  <w:tcW w:w="1270" w:type="pct"/>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Merge w:val="continue"/>
                  <w:vAlign w:val="center"/>
                </w:tcPr>
                <w:p>
                  <w:pPr>
                    <w:adjustRightInd w:val="0"/>
                    <w:snapToGrid w:val="0"/>
                    <w:jc w:val="center"/>
                    <w:rPr>
                      <w:color w:val="auto"/>
                      <w:szCs w:val="21"/>
                    </w:rPr>
                  </w:pPr>
                </w:p>
              </w:tc>
              <w:tc>
                <w:tcPr>
                  <w:tcW w:w="925" w:type="pct"/>
                  <w:vAlign w:val="center"/>
                </w:tcPr>
                <w:p>
                  <w:pPr>
                    <w:adjustRightInd w:val="0"/>
                    <w:snapToGrid w:val="0"/>
                    <w:jc w:val="center"/>
                    <w:rPr>
                      <w:color w:val="auto"/>
                      <w:szCs w:val="21"/>
                    </w:rPr>
                  </w:pPr>
                  <w:r>
                    <w:rPr>
                      <w:rFonts w:hint="eastAsia"/>
                      <w:color w:val="auto"/>
                      <w:szCs w:val="21"/>
                    </w:rPr>
                    <w:t>去除率%</w:t>
                  </w:r>
                </w:p>
              </w:tc>
              <w:tc>
                <w:tcPr>
                  <w:tcW w:w="1008" w:type="pct"/>
                  <w:vAlign w:val="center"/>
                </w:tcPr>
                <w:p>
                  <w:pPr>
                    <w:adjustRightInd w:val="0"/>
                    <w:snapToGrid w:val="0"/>
                    <w:jc w:val="center"/>
                    <w:rPr>
                      <w:color w:val="auto"/>
                      <w:szCs w:val="21"/>
                    </w:rPr>
                  </w:pPr>
                  <w:r>
                    <w:rPr>
                      <w:rFonts w:hint="eastAsia"/>
                      <w:color w:val="auto"/>
                      <w:szCs w:val="21"/>
                    </w:rPr>
                    <w:t>-</w:t>
                  </w:r>
                </w:p>
              </w:tc>
              <w:tc>
                <w:tcPr>
                  <w:tcW w:w="944" w:type="pct"/>
                  <w:vAlign w:val="center"/>
                </w:tcPr>
                <w:p>
                  <w:pPr>
                    <w:adjustRightInd w:val="0"/>
                    <w:snapToGrid w:val="0"/>
                    <w:jc w:val="center"/>
                    <w:rPr>
                      <w:color w:val="auto"/>
                      <w:szCs w:val="21"/>
                    </w:rPr>
                  </w:pPr>
                  <w:r>
                    <w:rPr>
                      <w:rFonts w:hint="eastAsia"/>
                      <w:color w:val="auto"/>
                      <w:szCs w:val="21"/>
                    </w:rPr>
                    <w:t>-</w:t>
                  </w:r>
                </w:p>
              </w:tc>
              <w:tc>
                <w:tcPr>
                  <w:tcW w:w="1270" w:type="pct"/>
                  <w:vAlign w:val="center"/>
                </w:tcPr>
                <w:p>
                  <w:pPr>
                    <w:adjustRightInd w:val="0"/>
                    <w:snapToGrid w:val="0"/>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Merge w:val="restart"/>
                  <w:vAlign w:val="center"/>
                </w:tcPr>
                <w:p>
                  <w:pPr>
                    <w:adjustRightInd w:val="0"/>
                    <w:snapToGrid w:val="0"/>
                    <w:jc w:val="center"/>
                    <w:rPr>
                      <w:color w:val="auto"/>
                      <w:szCs w:val="21"/>
                    </w:rPr>
                  </w:pPr>
                  <w:r>
                    <w:rPr>
                      <w:rFonts w:hint="eastAsia"/>
                      <w:color w:val="auto"/>
                      <w:szCs w:val="21"/>
                    </w:rPr>
                    <w:t>二级：一种含油污水处理用净化水装置撬</w:t>
                  </w:r>
                </w:p>
              </w:tc>
              <w:tc>
                <w:tcPr>
                  <w:tcW w:w="925" w:type="pct"/>
                  <w:vAlign w:val="center"/>
                </w:tcPr>
                <w:p>
                  <w:pPr>
                    <w:adjustRightInd w:val="0"/>
                    <w:snapToGrid w:val="0"/>
                    <w:jc w:val="center"/>
                    <w:rPr>
                      <w:color w:val="auto"/>
                      <w:szCs w:val="21"/>
                    </w:rPr>
                  </w:pPr>
                  <w:r>
                    <w:rPr>
                      <w:rFonts w:hint="eastAsia"/>
                      <w:color w:val="auto"/>
                      <w:szCs w:val="21"/>
                    </w:rPr>
                    <w:t>进水（mg/L）</w:t>
                  </w:r>
                </w:p>
              </w:tc>
              <w:tc>
                <w:tcPr>
                  <w:tcW w:w="1008" w:type="pct"/>
                  <w:vAlign w:val="center"/>
                </w:tcPr>
                <w:p>
                  <w:pPr>
                    <w:adjustRightInd w:val="0"/>
                    <w:snapToGrid w:val="0"/>
                    <w:jc w:val="center"/>
                    <w:rPr>
                      <w:color w:val="auto"/>
                      <w:szCs w:val="21"/>
                    </w:rPr>
                  </w:pPr>
                  <w:r>
                    <w:rPr>
                      <w:rFonts w:hint="eastAsia"/>
                      <w:color w:val="auto"/>
                      <w:szCs w:val="21"/>
                    </w:rPr>
                    <w:t>420</w:t>
                  </w:r>
                </w:p>
              </w:tc>
              <w:tc>
                <w:tcPr>
                  <w:tcW w:w="944" w:type="pct"/>
                  <w:vAlign w:val="center"/>
                </w:tcPr>
                <w:p>
                  <w:pPr>
                    <w:adjustRightInd w:val="0"/>
                    <w:snapToGrid w:val="0"/>
                    <w:jc w:val="center"/>
                    <w:rPr>
                      <w:color w:val="auto"/>
                      <w:szCs w:val="21"/>
                    </w:rPr>
                  </w:pPr>
                  <w:r>
                    <w:rPr>
                      <w:rFonts w:hint="eastAsia"/>
                      <w:color w:val="auto"/>
                      <w:szCs w:val="21"/>
                    </w:rPr>
                    <w:t>1050</w:t>
                  </w:r>
                </w:p>
              </w:tc>
              <w:tc>
                <w:tcPr>
                  <w:tcW w:w="1270" w:type="pct"/>
                  <w:vAlign w:val="center"/>
                </w:tcPr>
                <w:p>
                  <w:pPr>
                    <w:adjustRightInd w:val="0"/>
                    <w:snapToGrid w:val="0"/>
                    <w:jc w:val="center"/>
                    <w:rPr>
                      <w:color w:val="auto"/>
                      <w:szCs w:val="21"/>
                    </w:rPr>
                  </w:pPr>
                  <w:r>
                    <w:rPr>
                      <w:rFonts w:hint="eastAsia"/>
                      <w:color w:val="auto"/>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Merge w:val="continue"/>
                  <w:vAlign w:val="center"/>
                </w:tcPr>
                <w:p>
                  <w:pPr>
                    <w:adjustRightInd w:val="0"/>
                    <w:snapToGrid w:val="0"/>
                    <w:jc w:val="center"/>
                    <w:rPr>
                      <w:color w:val="auto"/>
                      <w:szCs w:val="21"/>
                    </w:rPr>
                  </w:pPr>
                </w:p>
              </w:tc>
              <w:tc>
                <w:tcPr>
                  <w:tcW w:w="925" w:type="pct"/>
                  <w:vAlign w:val="center"/>
                </w:tcPr>
                <w:p>
                  <w:pPr>
                    <w:adjustRightInd w:val="0"/>
                    <w:snapToGrid w:val="0"/>
                    <w:jc w:val="center"/>
                    <w:rPr>
                      <w:color w:val="auto"/>
                      <w:szCs w:val="21"/>
                    </w:rPr>
                  </w:pPr>
                  <w:r>
                    <w:rPr>
                      <w:rFonts w:hint="eastAsia"/>
                      <w:color w:val="auto"/>
                      <w:szCs w:val="21"/>
                    </w:rPr>
                    <w:t>出水（mg/L）</w:t>
                  </w:r>
                </w:p>
              </w:tc>
              <w:tc>
                <w:tcPr>
                  <w:tcW w:w="1008" w:type="pct"/>
                  <w:vAlign w:val="center"/>
                </w:tcPr>
                <w:p>
                  <w:pPr>
                    <w:adjustRightInd w:val="0"/>
                    <w:snapToGrid w:val="0"/>
                    <w:jc w:val="center"/>
                    <w:rPr>
                      <w:color w:val="auto"/>
                      <w:szCs w:val="21"/>
                    </w:rPr>
                  </w:pPr>
                  <w:r>
                    <w:rPr>
                      <w:rFonts w:hint="eastAsia"/>
                      <w:color w:val="auto"/>
                      <w:szCs w:val="21"/>
                    </w:rPr>
                    <w:t>84</w:t>
                  </w:r>
                </w:p>
              </w:tc>
              <w:tc>
                <w:tcPr>
                  <w:tcW w:w="944" w:type="pct"/>
                  <w:vAlign w:val="center"/>
                </w:tcPr>
                <w:p>
                  <w:pPr>
                    <w:adjustRightInd w:val="0"/>
                    <w:snapToGrid w:val="0"/>
                    <w:jc w:val="center"/>
                    <w:rPr>
                      <w:color w:val="auto"/>
                      <w:szCs w:val="21"/>
                    </w:rPr>
                  </w:pPr>
                  <w:r>
                    <w:rPr>
                      <w:rFonts w:hint="eastAsia"/>
                      <w:color w:val="auto"/>
                      <w:szCs w:val="21"/>
                    </w:rPr>
                    <w:t>210</w:t>
                  </w:r>
                </w:p>
              </w:tc>
              <w:tc>
                <w:tcPr>
                  <w:tcW w:w="1270" w:type="pct"/>
                  <w:vAlign w:val="center"/>
                </w:tcPr>
                <w:p>
                  <w:pPr>
                    <w:adjustRightInd w:val="0"/>
                    <w:snapToGrid w:val="0"/>
                    <w:jc w:val="center"/>
                    <w:rPr>
                      <w:color w:val="auto"/>
                      <w:szCs w:val="21"/>
                    </w:rPr>
                  </w:pPr>
                  <w:r>
                    <w:rPr>
                      <w:rFonts w:hint="eastAsia"/>
                      <w:color w:val="auto"/>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Merge w:val="continue"/>
                  <w:vAlign w:val="center"/>
                </w:tcPr>
                <w:p>
                  <w:pPr>
                    <w:adjustRightInd w:val="0"/>
                    <w:snapToGrid w:val="0"/>
                    <w:jc w:val="center"/>
                    <w:rPr>
                      <w:color w:val="auto"/>
                      <w:szCs w:val="21"/>
                    </w:rPr>
                  </w:pPr>
                </w:p>
              </w:tc>
              <w:tc>
                <w:tcPr>
                  <w:tcW w:w="925" w:type="pct"/>
                  <w:vAlign w:val="center"/>
                </w:tcPr>
                <w:p>
                  <w:pPr>
                    <w:adjustRightInd w:val="0"/>
                    <w:snapToGrid w:val="0"/>
                    <w:jc w:val="center"/>
                    <w:rPr>
                      <w:color w:val="auto"/>
                      <w:szCs w:val="21"/>
                    </w:rPr>
                  </w:pPr>
                  <w:r>
                    <w:rPr>
                      <w:rFonts w:hint="eastAsia"/>
                      <w:color w:val="auto"/>
                      <w:szCs w:val="21"/>
                    </w:rPr>
                    <w:t>去除率%</w:t>
                  </w:r>
                </w:p>
              </w:tc>
              <w:tc>
                <w:tcPr>
                  <w:tcW w:w="1008" w:type="pct"/>
                  <w:vAlign w:val="center"/>
                </w:tcPr>
                <w:p>
                  <w:pPr>
                    <w:adjustRightInd w:val="0"/>
                    <w:snapToGrid w:val="0"/>
                    <w:jc w:val="center"/>
                    <w:rPr>
                      <w:color w:val="auto"/>
                      <w:szCs w:val="21"/>
                    </w:rPr>
                  </w:pPr>
                  <w:r>
                    <w:rPr>
                      <w:rFonts w:hint="eastAsia"/>
                      <w:color w:val="auto"/>
                      <w:szCs w:val="21"/>
                    </w:rPr>
                    <w:t>80</w:t>
                  </w:r>
                </w:p>
              </w:tc>
              <w:tc>
                <w:tcPr>
                  <w:tcW w:w="944" w:type="pct"/>
                  <w:vAlign w:val="center"/>
                </w:tcPr>
                <w:p>
                  <w:pPr>
                    <w:adjustRightInd w:val="0"/>
                    <w:snapToGrid w:val="0"/>
                    <w:jc w:val="center"/>
                    <w:rPr>
                      <w:color w:val="auto"/>
                      <w:szCs w:val="21"/>
                    </w:rPr>
                  </w:pPr>
                  <w:r>
                    <w:rPr>
                      <w:rFonts w:hint="eastAsia"/>
                      <w:color w:val="auto"/>
                      <w:szCs w:val="21"/>
                    </w:rPr>
                    <w:t>80</w:t>
                  </w:r>
                </w:p>
              </w:tc>
              <w:tc>
                <w:tcPr>
                  <w:tcW w:w="1270" w:type="pct"/>
                  <w:vAlign w:val="center"/>
                </w:tcPr>
                <w:p>
                  <w:pPr>
                    <w:adjustRightInd w:val="0"/>
                    <w:snapToGrid w:val="0"/>
                    <w:jc w:val="center"/>
                    <w:rPr>
                      <w:color w:val="auto"/>
                      <w:szCs w:val="21"/>
                    </w:rPr>
                  </w:pPr>
                  <w:r>
                    <w:rPr>
                      <w:rFonts w:hint="eastAsia"/>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Merge w:val="restart"/>
                  <w:vAlign w:val="center"/>
                </w:tcPr>
                <w:p>
                  <w:pPr>
                    <w:adjustRightInd w:val="0"/>
                    <w:snapToGrid w:val="0"/>
                    <w:jc w:val="center"/>
                    <w:rPr>
                      <w:color w:val="auto"/>
                      <w:szCs w:val="21"/>
                    </w:rPr>
                  </w:pPr>
                  <w:r>
                    <w:rPr>
                      <w:rFonts w:hint="eastAsia"/>
                      <w:color w:val="auto"/>
                      <w:szCs w:val="21"/>
                    </w:rPr>
                    <w:t>三级：过滤</w:t>
                  </w:r>
                </w:p>
                <w:p>
                  <w:pPr>
                    <w:adjustRightInd w:val="0"/>
                    <w:snapToGrid w:val="0"/>
                    <w:jc w:val="center"/>
                    <w:rPr>
                      <w:color w:val="auto"/>
                      <w:szCs w:val="21"/>
                    </w:rPr>
                  </w:pPr>
                  <w:r>
                    <w:rPr>
                      <w:rFonts w:hint="eastAsia"/>
                      <w:color w:val="auto"/>
                      <w:szCs w:val="21"/>
                    </w:rPr>
                    <w:t>装置撬</w:t>
                  </w:r>
                </w:p>
              </w:tc>
              <w:tc>
                <w:tcPr>
                  <w:tcW w:w="925" w:type="pct"/>
                  <w:vAlign w:val="center"/>
                </w:tcPr>
                <w:p>
                  <w:pPr>
                    <w:adjustRightInd w:val="0"/>
                    <w:snapToGrid w:val="0"/>
                    <w:jc w:val="center"/>
                    <w:rPr>
                      <w:color w:val="auto"/>
                      <w:szCs w:val="21"/>
                    </w:rPr>
                  </w:pPr>
                  <w:r>
                    <w:rPr>
                      <w:rFonts w:hint="eastAsia"/>
                      <w:color w:val="auto"/>
                      <w:szCs w:val="21"/>
                    </w:rPr>
                    <w:t>进水（mg/L）</w:t>
                  </w:r>
                </w:p>
              </w:tc>
              <w:tc>
                <w:tcPr>
                  <w:tcW w:w="1008" w:type="pct"/>
                  <w:vAlign w:val="center"/>
                </w:tcPr>
                <w:p>
                  <w:pPr>
                    <w:adjustRightInd w:val="0"/>
                    <w:snapToGrid w:val="0"/>
                    <w:jc w:val="center"/>
                    <w:rPr>
                      <w:color w:val="auto"/>
                      <w:szCs w:val="21"/>
                    </w:rPr>
                  </w:pPr>
                  <w:r>
                    <w:rPr>
                      <w:rFonts w:hint="eastAsia"/>
                      <w:color w:val="auto"/>
                      <w:szCs w:val="21"/>
                    </w:rPr>
                    <w:t>84</w:t>
                  </w:r>
                </w:p>
              </w:tc>
              <w:tc>
                <w:tcPr>
                  <w:tcW w:w="944" w:type="pct"/>
                  <w:vAlign w:val="center"/>
                </w:tcPr>
                <w:p>
                  <w:pPr>
                    <w:adjustRightInd w:val="0"/>
                    <w:snapToGrid w:val="0"/>
                    <w:jc w:val="center"/>
                    <w:rPr>
                      <w:color w:val="auto"/>
                      <w:szCs w:val="21"/>
                    </w:rPr>
                  </w:pPr>
                  <w:r>
                    <w:rPr>
                      <w:rFonts w:hint="eastAsia"/>
                      <w:color w:val="auto"/>
                      <w:szCs w:val="21"/>
                    </w:rPr>
                    <w:t>210</w:t>
                  </w:r>
                </w:p>
              </w:tc>
              <w:tc>
                <w:tcPr>
                  <w:tcW w:w="1270" w:type="pct"/>
                  <w:vAlign w:val="center"/>
                </w:tcPr>
                <w:p>
                  <w:pPr>
                    <w:adjustRightInd w:val="0"/>
                    <w:snapToGrid w:val="0"/>
                    <w:jc w:val="center"/>
                    <w:rPr>
                      <w:color w:val="auto"/>
                      <w:szCs w:val="21"/>
                    </w:rPr>
                  </w:pPr>
                  <w:r>
                    <w:rPr>
                      <w:rFonts w:hint="eastAsia"/>
                      <w:color w:val="auto"/>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Merge w:val="continue"/>
                  <w:vAlign w:val="center"/>
                </w:tcPr>
                <w:p>
                  <w:pPr>
                    <w:adjustRightInd w:val="0"/>
                    <w:snapToGrid w:val="0"/>
                    <w:jc w:val="center"/>
                    <w:rPr>
                      <w:color w:val="auto"/>
                      <w:szCs w:val="21"/>
                    </w:rPr>
                  </w:pPr>
                </w:p>
              </w:tc>
              <w:tc>
                <w:tcPr>
                  <w:tcW w:w="925" w:type="pct"/>
                  <w:vAlign w:val="center"/>
                </w:tcPr>
                <w:p>
                  <w:pPr>
                    <w:adjustRightInd w:val="0"/>
                    <w:snapToGrid w:val="0"/>
                    <w:jc w:val="center"/>
                    <w:rPr>
                      <w:color w:val="auto"/>
                      <w:szCs w:val="21"/>
                    </w:rPr>
                  </w:pPr>
                  <w:r>
                    <w:rPr>
                      <w:rFonts w:hint="eastAsia"/>
                      <w:color w:val="auto"/>
                      <w:szCs w:val="21"/>
                    </w:rPr>
                    <w:t>出水（mg/L）</w:t>
                  </w:r>
                </w:p>
              </w:tc>
              <w:tc>
                <w:tcPr>
                  <w:tcW w:w="1008" w:type="pct"/>
                  <w:vAlign w:val="center"/>
                </w:tcPr>
                <w:p>
                  <w:pPr>
                    <w:adjustRightInd w:val="0"/>
                    <w:snapToGrid w:val="0"/>
                    <w:jc w:val="center"/>
                    <w:rPr>
                      <w:color w:val="auto"/>
                      <w:szCs w:val="21"/>
                    </w:rPr>
                  </w:pPr>
                  <w:r>
                    <w:rPr>
                      <w:rFonts w:hint="eastAsia"/>
                      <w:color w:val="auto"/>
                      <w:szCs w:val="21"/>
                    </w:rPr>
                    <w:t>4.2</w:t>
                  </w:r>
                </w:p>
              </w:tc>
              <w:tc>
                <w:tcPr>
                  <w:tcW w:w="944" w:type="pct"/>
                  <w:vAlign w:val="center"/>
                </w:tcPr>
                <w:p>
                  <w:pPr>
                    <w:adjustRightInd w:val="0"/>
                    <w:snapToGrid w:val="0"/>
                    <w:jc w:val="center"/>
                    <w:rPr>
                      <w:color w:val="auto"/>
                      <w:szCs w:val="21"/>
                    </w:rPr>
                  </w:pPr>
                  <w:r>
                    <w:rPr>
                      <w:rFonts w:hint="eastAsia"/>
                      <w:color w:val="auto"/>
                      <w:szCs w:val="21"/>
                    </w:rPr>
                    <w:t>6.3</w:t>
                  </w:r>
                </w:p>
              </w:tc>
              <w:tc>
                <w:tcPr>
                  <w:tcW w:w="1270" w:type="pct"/>
                  <w:vAlign w:val="center"/>
                </w:tcPr>
                <w:p>
                  <w:pPr>
                    <w:adjustRightInd w:val="0"/>
                    <w:snapToGrid w:val="0"/>
                    <w:jc w:val="center"/>
                    <w:rPr>
                      <w:color w:val="auto"/>
                      <w:szCs w:val="21"/>
                    </w:rPr>
                  </w:pPr>
                  <w:r>
                    <w:rPr>
                      <w:rFonts w:hint="eastAsia"/>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Merge w:val="continue"/>
                  <w:vAlign w:val="center"/>
                </w:tcPr>
                <w:p>
                  <w:pPr>
                    <w:adjustRightInd w:val="0"/>
                    <w:snapToGrid w:val="0"/>
                    <w:jc w:val="center"/>
                    <w:rPr>
                      <w:color w:val="auto"/>
                      <w:szCs w:val="21"/>
                    </w:rPr>
                  </w:pPr>
                </w:p>
              </w:tc>
              <w:tc>
                <w:tcPr>
                  <w:tcW w:w="925" w:type="pct"/>
                  <w:vAlign w:val="center"/>
                </w:tcPr>
                <w:p>
                  <w:pPr>
                    <w:adjustRightInd w:val="0"/>
                    <w:snapToGrid w:val="0"/>
                    <w:jc w:val="center"/>
                    <w:rPr>
                      <w:color w:val="auto"/>
                      <w:szCs w:val="21"/>
                    </w:rPr>
                  </w:pPr>
                  <w:r>
                    <w:rPr>
                      <w:rFonts w:hint="eastAsia"/>
                      <w:color w:val="auto"/>
                      <w:szCs w:val="21"/>
                    </w:rPr>
                    <w:t>去除率%</w:t>
                  </w:r>
                </w:p>
              </w:tc>
              <w:tc>
                <w:tcPr>
                  <w:tcW w:w="1008" w:type="pct"/>
                  <w:vAlign w:val="center"/>
                </w:tcPr>
                <w:p>
                  <w:pPr>
                    <w:adjustRightInd w:val="0"/>
                    <w:snapToGrid w:val="0"/>
                    <w:jc w:val="center"/>
                    <w:rPr>
                      <w:color w:val="auto"/>
                      <w:szCs w:val="21"/>
                    </w:rPr>
                  </w:pPr>
                  <w:r>
                    <w:rPr>
                      <w:rFonts w:hint="eastAsia"/>
                      <w:color w:val="auto"/>
                      <w:szCs w:val="21"/>
                    </w:rPr>
                    <w:t>95</w:t>
                  </w:r>
                </w:p>
              </w:tc>
              <w:tc>
                <w:tcPr>
                  <w:tcW w:w="944" w:type="pct"/>
                  <w:vAlign w:val="center"/>
                </w:tcPr>
                <w:p>
                  <w:pPr>
                    <w:adjustRightInd w:val="0"/>
                    <w:snapToGrid w:val="0"/>
                    <w:jc w:val="center"/>
                    <w:rPr>
                      <w:color w:val="auto"/>
                      <w:szCs w:val="21"/>
                    </w:rPr>
                  </w:pPr>
                  <w:r>
                    <w:rPr>
                      <w:rFonts w:hint="eastAsia"/>
                      <w:color w:val="auto"/>
                      <w:szCs w:val="21"/>
                    </w:rPr>
                    <w:t>97</w:t>
                  </w:r>
                </w:p>
              </w:tc>
              <w:tc>
                <w:tcPr>
                  <w:tcW w:w="1270" w:type="pct"/>
                  <w:vAlign w:val="center"/>
                </w:tcPr>
                <w:p>
                  <w:pPr>
                    <w:adjustRightInd w:val="0"/>
                    <w:snapToGrid w:val="0"/>
                    <w:jc w:val="center"/>
                    <w:rPr>
                      <w:color w:val="auto"/>
                      <w:szCs w:val="21"/>
                    </w:rPr>
                  </w:pPr>
                  <w:r>
                    <w:rPr>
                      <w:rFonts w:hint="eastAsia"/>
                      <w:color w:val="auto"/>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Align w:val="center"/>
                </w:tcPr>
                <w:p>
                  <w:pPr>
                    <w:adjustRightInd w:val="0"/>
                    <w:snapToGrid w:val="0"/>
                    <w:jc w:val="center"/>
                    <w:rPr>
                      <w:color w:val="auto"/>
                      <w:szCs w:val="21"/>
                    </w:rPr>
                  </w:pPr>
                  <w:r>
                    <w:rPr>
                      <w:rFonts w:hint="eastAsia"/>
                      <w:color w:val="auto"/>
                      <w:szCs w:val="21"/>
                    </w:rPr>
                    <w:t>碎屑岩油藏注水水质指标技术要求及分析方法》（SY/T 5329-2022）I级标准</w:t>
                  </w:r>
                </w:p>
              </w:tc>
              <w:tc>
                <w:tcPr>
                  <w:tcW w:w="925" w:type="pct"/>
                  <w:vAlign w:val="center"/>
                </w:tcPr>
                <w:p>
                  <w:pPr>
                    <w:adjustRightInd w:val="0"/>
                    <w:snapToGrid w:val="0"/>
                    <w:jc w:val="center"/>
                    <w:rPr>
                      <w:color w:val="auto"/>
                      <w:szCs w:val="21"/>
                    </w:rPr>
                  </w:pPr>
                  <w:r>
                    <w:rPr>
                      <w:rFonts w:hint="eastAsia"/>
                      <w:color w:val="auto"/>
                      <w:szCs w:val="21"/>
                    </w:rPr>
                    <w:t>达标标准</w:t>
                  </w:r>
                </w:p>
              </w:tc>
              <w:tc>
                <w:tcPr>
                  <w:tcW w:w="1008" w:type="pct"/>
                  <w:vAlign w:val="center"/>
                </w:tcPr>
                <w:p>
                  <w:pPr>
                    <w:adjustRightInd w:val="0"/>
                    <w:snapToGrid w:val="0"/>
                    <w:jc w:val="center"/>
                    <w:rPr>
                      <w:color w:val="auto"/>
                      <w:szCs w:val="21"/>
                    </w:rPr>
                  </w:pPr>
                  <w:r>
                    <w:rPr>
                      <w:rFonts w:hint="eastAsia"/>
                      <w:color w:val="auto"/>
                      <w:szCs w:val="21"/>
                    </w:rPr>
                    <w:t>5.0</w:t>
                  </w:r>
                </w:p>
              </w:tc>
              <w:tc>
                <w:tcPr>
                  <w:tcW w:w="944" w:type="pct"/>
                  <w:vAlign w:val="center"/>
                </w:tcPr>
                <w:p>
                  <w:pPr>
                    <w:adjustRightInd w:val="0"/>
                    <w:snapToGrid w:val="0"/>
                    <w:jc w:val="center"/>
                    <w:rPr>
                      <w:color w:val="auto"/>
                      <w:szCs w:val="21"/>
                    </w:rPr>
                  </w:pPr>
                  <w:r>
                    <w:rPr>
                      <w:rFonts w:hint="eastAsia"/>
                      <w:color w:val="auto"/>
                      <w:szCs w:val="21"/>
                    </w:rPr>
                    <w:t>8.0</w:t>
                  </w:r>
                </w:p>
              </w:tc>
              <w:tc>
                <w:tcPr>
                  <w:tcW w:w="1270" w:type="pct"/>
                  <w:vAlign w:val="center"/>
                </w:tcPr>
                <w:p>
                  <w:pPr>
                    <w:adjustRightInd w:val="0"/>
                    <w:snapToGrid w:val="0"/>
                    <w:jc w:val="center"/>
                    <w:rPr>
                      <w:color w:val="auto"/>
                      <w:szCs w:val="21"/>
                    </w:rPr>
                  </w:pPr>
                  <w:r>
                    <w:rPr>
                      <w:rFonts w:hint="eastAsia"/>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pct"/>
                  <w:vAlign w:val="center"/>
                </w:tcPr>
                <w:p>
                  <w:pPr>
                    <w:adjustRightInd w:val="0"/>
                    <w:snapToGrid w:val="0"/>
                    <w:jc w:val="center"/>
                    <w:rPr>
                      <w:color w:val="auto"/>
                      <w:szCs w:val="21"/>
                    </w:rPr>
                  </w:pPr>
                  <w:r>
                    <w:rPr>
                      <w:rFonts w:hint="eastAsia"/>
                      <w:color w:val="auto"/>
                      <w:szCs w:val="21"/>
                    </w:rPr>
                    <w:t>总去</w:t>
                  </w:r>
                </w:p>
                <w:p>
                  <w:pPr>
                    <w:adjustRightInd w:val="0"/>
                    <w:snapToGrid w:val="0"/>
                    <w:jc w:val="center"/>
                    <w:rPr>
                      <w:color w:val="auto"/>
                      <w:szCs w:val="21"/>
                    </w:rPr>
                  </w:pPr>
                  <w:r>
                    <w:rPr>
                      <w:rFonts w:hint="eastAsia"/>
                      <w:color w:val="auto"/>
                      <w:szCs w:val="21"/>
                    </w:rPr>
                    <w:t>除效率</w:t>
                  </w:r>
                </w:p>
              </w:tc>
              <w:tc>
                <w:tcPr>
                  <w:tcW w:w="925" w:type="pct"/>
                  <w:vAlign w:val="center"/>
                </w:tcPr>
                <w:p>
                  <w:pPr>
                    <w:adjustRightInd w:val="0"/>
                    <w:snapToGrid w:val="0"/>
                    <w:jc w:val="center"/>
                    <w:rPr>
                      <w:color w:val="auto"/>
                      <w:szCs w:val="21"/>
                    </w:rPr>
                  </w:pPr>
                  <w:r>
                    <w:rPr>
                      <w:rFonts w:hint="eastAsia"/>
                      <w:color w:val="auto"/>
                      <w:szCs w:val="21"/>
                    </w:rPr>
                    <w:t>去除率%</w:t>
                  </w:r>
                </w:p>
              </w:tc>
              <w:tc>
                <w:tcPr>
                  <w:tcW w:w="1008" w:type="pct"/>
                  <w:vAlign w:val="center"/>
                </w:tcPr>
                <w:p>
                  <w:pPr>
                    <w:adjustRightInd w:val="0"/>
                    <w:snapToGrid w:val="0"/>
                    <w:jc w:val="center"/>
                    <w:rPr>
                      <w:color w:val="auto"/>
                      <w:szCs w:val="21"/>
                    </w:rPr>
                  </w:pPr>
                  <w:r>
                    <w:rPr>
                      <w:rFonts w:hint="eastAsia"/>
                      <w:color w:val="auto"/>
                      <w:szCs w:val="21"/>
                    </w:rPr>
                    <w:t>≥99.3</w:t>
                  </w:r>
                </w:p>
              </w:tc>
              <w:tc>
                <w:tcPr>
                  <w:tcW w:w="944" w:type="pct"/>
                  <w:vAlign w:val="center"/>
                </w:tcPr>
                <w:p>
                  <w:pPr>
                    <w:adjustRightInd w:val="0"/>
                    <w:snapToGrid w:val="0"/>
                    <w:jc w:val="center"/>
                    <w:rPr>
                      <w:color w:val="auto"/>
                      <w:szCs w:val="21"/>
                    </w:rPr>
                  </w:pPr>
                  <w:r>
                    <w:rPr>
                      <w:rFonts w:hint="eastAsia"/>
                      <w:color w:val="auto"/>
                      <w:szCs w:val="21"/>
                    </w:rPr>
                    <w:t>≥99.6</w:t>
                  </w:r>
                </w:p>
              </w:tc>
              <w:tc>
                <w:tcPr>
                  <w:tcW w:w="1270" w:type="pct"/>
                  <w:vAlign w:val="center"/>
                </w:tcPr>
                <w:p>
                  <w:pPr>
                    <w:adjustRightInd w:val="0"/>
                    <w:snapToGrid w:val="0"/>
                    <w:jc w:val="center"/>
                    <w:rPr>
                      <w:color w:val="auto"/>
                      <w:szCs w:val="21"/>
                    </w:rPr>
                  </w:pPr>
                  <w:r>
                    <w:rPr>
                      <w:rFonts w:hint="eastAsia"/>
                      <w:color w:val="auto"/>
                      <w:szCs w:val="21"/>
                    </w:rPr>
                    <w:t>≥98.0</w:t>
                  </w:r>
                </w:p>
              </w:tc>
            </w:tr>
          </w:tbl>
          <w:p>
            <w:pPr>
              <w:adjustRightInd w:val="0"/>
              <w:spacing w:line="360" w:lineRule="auto"/>
              <w:ind w:left="420" w:leftChars="200"/>
              <w:rPr>
                <w:b/>
                <w:color w:val="auto"/>
                <w:sz w:val="24"/>
              </w:rPr>
            </w:pPr>
            <w:r>
              <w:rPr>
                <w:b/>
                <w:color w:val="auto"/>
                <w:sz w:val="24"/>
              </w:rPr>
              <w:t>2、产排污环节</w:t>
            </w:r>
          </w:p>
          <w:p>
            <w:pPr>
              <w:pStyle w:val="91"/>
              <w:spacing w:line="360" w:lineRule="auto"/>
              <w:ind w:firstLine="495" w:firstLineChars="0"/>
              <w:rPr>
                <w:bCs/>
                <w:color w:val="auto"/>
                <w:sz w:val="24"/>
              </w:rPr>
            </w:pPr>
            <w:r>
              <w:rPr>
                <w:rFonts w:hint="eastAsia"/>
                <w:bCs/>
                <w:color w:val="auto"/>
                <w:sz w:val="24"/>
              </w:rPr>
              <w:t>⑴ 废气</w:t>
            </w:r>
          </w:p>
          <w:p>
            <w:pPr>
              <w:pStyle w:val="91"/>
              <w:spacing w:line="360" w:lineRule="auto"/>
              <w:ind w:firstLine="495" w:firstLineChars="0"/>
              <w:rPr>
                <w:bCs/>
                <w:color w:val="auto"/>
                <w:sz w:val="24"/>
              </w:rPr>
            </w:pPr>
            <w:r>
              <w:rPr>
                <w:rFonts w:hint="eastAsia"/>
                <w:bCs/>
                <w:color w:val="auto"/>
                <w:sz w:val="24"/>
              </w:rPr>
              <w:t>卸水罐、污水处理装置及污油泥暂存等工序产生的非甲烷总烃，均为无组织排放。</w:t>
            </w:r>
          </w:p>
          <w:p>
            <w:pPr>
              <w:pStyle w:val="91"/>
              <w:spacing w:line="360" w:lineRule="auto"/>
              <w:ind w:firstLine="495" w:firstLineChars="0"/>
              <w:rPr>
                <w:bCs/>
                <w:color w:val="auto"/>
                <w:sz w:val="24"/>
              </w:rPr>
            </w:pPr>
            <w:r>
              <w:rPr>
                <w:rFonts w:hint="eastAsia"/>
                <w:bCs/>
                <w:color w:val="auto"/>
                <w:sz w:val="24"/>
              </w:rPr>
              <w:t>⑵ 噪声</w:t>
            </w:r>
          </w:p>
          <w:p>
            <w:pPr>
              <w:pStyle w:val="91"/>
              <w:spacing w:line="360" w:lineRule="auto"/>
              <w:ind w:firstLine="495" w:firstLineChars="0"/>
              <w:rPr>
                <w:bCs/>
                <w:color w:val="auto"/>
                <w:sz w:val="24"/>
              </w:rPr>
            </w:pPr>
            <w:r>
              <w:rPr>
                <w:rFonts w:hint="eastAsia"/>
                <w:bCs/>
                <w:color w:val="auto"/>
                <w:sz w:val="24"/>
              </w:rPr>
              <w:t>运营期噪声主要为泵等机械设备产生的噪声。</w:t>
            </w:r>
          </w:p>
          <w:p>
            <w:pPr>
              <w:pStyle w:val="91"/>
              <w:spacing w:line="360" w:lineRule="auto"/>
              <w:ind w:firstLine="495" w:firstLineChars="0"/>
              <w:rPr>
                <w:bCs/>
                <w:color w:val="auto"/>
                <w:sz w:val="24"/>
              </w:rPr>
            </w:pPr>
            <w:r>
              <w:rPr>
                <w:rFonts w:hint="eastAsia"/>
                <w:bCs/>
                <w:color w:val="auto"/>
                <w:sz w:val="24"/>
              </w:rPr>
              <w:t>⑶ 固废</w:t>
            </w:r>
          </w:p>
          <w:p>
            <w:pPr>
              <w:pStyle w:val="91"/>
              <w:spacing w:line="360" w:lineRule="auto"/>
              <w:ind w:firstLine="495" w:firstLineChars="0"/>
              <w:rPr>
                <w:bCs/>
                <w:color w:val="auto"/>
                <w:sz w:val="24"/>
              </w:rPr>
            </w:pPr>
            <w:r>
              <w:rPr>
                <w:rFonts w:hint="eastAsia"/>
                <w:bCs/>
                <w:color w:val="auto"/>
                <w:sz w:val="24"/>
              </w:rPr>
              <w:t>生产固废主要为污油泥、废滤料以及生活垃圾。</w:t>
            </w:r>
          </w:p>
          <w:p>
            <w:pPr>
              <w:pStyle w:val="91"/>
              <w:spacing w:line="360" w:lineRule="auto"/>
              <w:ind w:firstLine="495" w:firstLineChars="0"/>
              <w:rPr>
                <w:bCs/>
                <w:color w:val="auto"/>
                <w:sz w:val="24"/>
              </w:rPr>
            </w:pPr>
            <w:r>
              <w:rPr>
                <w:rFonts w:hint="eastAsia"/>
                <w:bCs/>
                <w:color w:val="auto"/>
                <w:sz w:val="24"/>
              </w:rPr>
              <w:t>生产工艺流程及产污环节见图2-2。</w:t>
            </w:r>
          </w:p>
          <w:p>
            <w:pPr>
              <w:pStyle w:val="91"/>
              <w:spacing w:line="360" w:lineRule="auto"/>
              <w:ind w:firstLine="0" w:firstLineChars="0"/>
              <w:jc w:val="center"/>
              <w:rPr>
                <w:rFonts w:eastAsia="黑体"/>
                <w:color w:val="auto"/>
              </w:rPr>
            </w:pPr>
            <w:r>
              <w:rPr>
                <w:rFonts w:hAnsi="Times New Roman" w:eastAsia="黑体"/>
                <w:color w:val="auto"/>
              </w:rPr>
              <w:object>
                <v:shape id="_x0000_i1026" o:spt="75" type="#_x0000_t75" style="height:264pt;width:407.25pt;" o:ole="t" filled="f" o:preferrelative="t" stroked="f" coordsize="21600,21600">
                  <v:path/>
                  <v:fill on="f" focussize="0,0"/>
                  <v:stroke on="f" joinstyle="miter"/>
                  <v:imagedata r:id="rId17" o:title=""/>
                  <o:lock v:ext="edit" aspectratio="f"/>
                  <w10:wrap type="none"/>
                  <w10:anchorlock/>
                </v:shape>
                <o:OLEObject Type="Embed" ProgID="Visio.Drawing.11" ShapeID="_x0000_i1026" DrawAspect="Content" ObjectID="_1468075726" r:id="rId16">
                  <o:LockedField>false</o:LockedField>
                </o:OLEObject>
              </w:object>
            </w:r>
            <w:r>
              <w:rPr>
                <w:rFonts w:hAnsi="Times New Roman" w:eastAsia="黑体"/>
                <w:color w:val="auto"/>
              </w:rPr>
              <w:t>图</w:t>
            </w:r>
            <w:r>
              <w:rPr>
                <w:rFonts w:hint="eastAsia" w:hAnsi="Times New Roman" w:eastAsia="黑体"/>
                <w:color w:val="auto"/>
              </w:rPr>
              <w:t>2-2</w:t>
            </w:r>
            <w:r>
              <w:rPr>
                <w:rFonts w:hAnsi="Times New Roman" w:eastAsia="黑体"/>
                <w:color w:val="auto"/>
              </w:rPr>
              <w:t xml:space="preserve"> </w:t>
            </w:r>
            <w:r>
              <w:rPr>
                <w:rFonts w:hint="eastAsia" w:hAnsi="Times New Roman" w:eastAsia="黑体"/>
                <w:color w:val="auto"/>
              </w:rPr>
              <w:t xml:space="preserve"> </w:t>
            </w:r>
            <w:r>
              <w:rPr>
                <w:rFonts w:hAnsi="Times New Roman" w:eastAsia="黑体"/>
                <w:color w:val="auto"/>
              </w:rPr>
              <w:t>生产</w:t>
            </w:r>
            <w:r>
              <w:rPr>
                <w:rFonts w:eastAsia="黑体"/>
                <w:color w:val="auto"/>
              </w:rPr>
              <w:t>工艺流程及产污环节图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41" w:hRule="atLeast"/>
        </w:trPr>
        <w:tc>
          <w:tcPr>
            <w:tcW w:w="578" w:type="dxa"/>
            <w:vAlign w:val="center"/>
          </w:tcPr>
          <w:p>
            <w:pPr>
              <w:pStyle w:val="30"/>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与项目有关的原有环境污染问题</w:t>
            </w:r>
          </w:p>
        </w:tc>
        <w:tc>
          <w:tcPr>
            <w:tcW w:w="8339" w:type="dxa"/>
            <w:vAlign w:val="center"/>
          </w:tcPr>
          <w:p>
            <w:pPr>
              <w:pStyle w:val="9"/>
              <w:snapToGrid/>
              <w:spacing w:before="0" w:after="0" w:line="360" w:lineRule="auto"/>
              <w:ind w:right="0" w:firstLine="482" w:firstLineChars="200"/>
              <w:rPr>
                <w:b/>
                <w:bCs/>
                <w:color w:val="auto"/>
                <w:sz w:val="24"/>
                <w:szCs w:val="24"/>
              </w:rPr>
            </w:pPr>
            <w:r>
              <w:rPr>
                <w:rFonts w:hint="eastAsia"/>
                <w:b/>
                <w:bCs/>
                <w:color w:val="auto"/>
                <w:sz w:val="24"/>
                <w:szCs w:val="24"/>
              </w:rPr>
              <w:t>1、环保手续履行情况</w:t>
            </w:r>
          </w:p>
          <w:p>
            <w:pPr>
              <w:spacing w:line="360" w:lineRule="auto"/>
              <w:ind w:firstLine="480" w:firstLineChars="200"/>
              <w:rPr>
                <w:rFonts w:hint="eastAsia"/>
                <w:color w:val="auto"/>
                <w:sz w:val="24"/>
              </w:rPr>
            </w:pPr>
            <w:r>
              <w:rPr>
                <w:rFonts w:hint="eastAsia"/>
                <w:color w:val="auto"/>
                <w:sz w:val="24"/>
              </w:rPr>
              <w:t>本项目涉及2511站、3270站、4926-4站，同工艺项目的监测数据引用于东仁沟采油队庙沟污水处理站2642站。2511站、3270站、4926-4站、2642站的环评、应急预案、验收手续均纳入全厂的产能环评和验收，排污许可均纳入各采油队排污许可。环保手续履行情况</w:t>
            </w:r>
            <w:r>
              <w:rPr>
                <w:rFonts w:hint="eastAsia"/>
                <w:color w:val="auto"/>
                <w:sz w:val="24"/>
                <w:lang w:val="en-US" w:eastAsia="zh-CN"/>
              </w:rPr>
              <w:t>见附件9至附件13。</w:t>
            </w:r>
          </w:p>
          <w:p>
            <w:pPr>
              <w:spacing w:line="360" w:lineRule="auto"/>
              <w:ind w:firstLine="480" w:firstLineChars="200"/>
              <w:rPr>
                <w:rFonts w:hint="eastAsia"/>
                <w:color w:val="auto"/>
                <w:sz w:val="24"/>
              </w:rPr>
            </w:pPr>
            <w:r>
              <w:rPr>
                <w:rFonts w:hint="eastAsia"/>
                <w:color w:val="auto"/>
                <w:sz w:val="24"/>
              </w:rPr>
              <w:t>全厂产能环评、验收和排污许可办理情况如下：</w:t>
            </w:r>
          </w:p>
          <w:p>
            <w:pPr>
              <w:spacing w:line="360" w:lineRule="auto"/>
              <w:ind w:firstLine="480" w:firstLineChars="200"/>
              <w:rPr>
                <w:color w:val="auto"/>
                <w:sz w:val="24"/>
              </w:rPr>
            </w:pPr>
            <w:r>
              <w:rPr>
                <w:rFonts w:hint="eastAsia"/>
                <w:color w:val="auto"/>
                <w:sz w:val="24"/>
              </w:rPr>
              <w:t>2005年7月，定边采油厂委托煤炭科学总院西安分院和榆林市环境科技咨询服务部共同完成了《定边采油厂（100万吨）产能开发项目环境影响评价报告书》（以下简称“100万吨环评报告”）；2007年6月13日，榆林市环保局以榆政环发[2007]217号文对该项目进行了批复，同意项目建设。2008年7月，定边采油厂委托榆林市环境监测总站编制该项目环境保护验收调查报告，即《延长油田股份有限公司定边采油厂产能开发工程竣工环境保护验收调查报告》（以下简称“100万吨竣工验收报告”），2011年9月，榆林市环保局以榆政环发[2011]230号文对该项目进行了验收批复。</w:t>
            </w:r>
          </w:p>
          <w:p>
            <w:pPr>
              <w:spacing w:line="360" w:lineRule="auto"/>
              <w:ind w:firstLine="480" w:firstLineChars="200"/>
              <w:rPr>
                <w:color w:val="auto"/>
                <w:sz w:val="24"/>
              </w:rPr>
            </w:pPr>
            <w:r>
              <w:rPr>
                <w:color w:val="auto"/>
                <w:sz w:val="24"/>
              </w:rPr>
              <w:t>2012年2月15日，定边采油厂委托西安地质矿产研究所和榆林环境咨询技术服务部共同承担了定边采油厂“十二五”期间新增94万吨产能开发项目的环境影响评价工作。2013年3月27日榆林市环境保护局以榆政环发【2013】57号对《定边采油厂“十二五”期间新增94万吨产能开发项目环境影响报告书》进行了批复</w:t>
            </w:r>
            <w:r>
              <w:rPr>
                <w:rFonts w:hint="eastAsia"/>
                <w:color w:val="auto"/>
                <w:sz w:val="24"/>
              </w:rPr>
              <w:t>。2021年5月，延长油田股份有限公司定边采油厂委托榆林市环境科技咨询服务有限公司编制完成了</w:t>
            </w:r>
            <w:r>
              <w:rPr>
                <w:color w:val="auto"/>
                <w:sz w:val="24"/>
              </w:rPr>
              <w:t>《定边采油厂“十二五”期间新增94万吨产能开发项目</w:t>
            </w:r>
            <w:r>
              <w:rPr>
                <w:rFonts w:hint="eastAsia"/>
                <w:color w:val="auto"/>
                <w:sz w:val="24"/>
              </w:rPr>
              <w:t>竣工环境保护验收调查报告》进行了自主验收。</w:t>
            </w:r>
          </w:p>
          <w:p>
            <w:pPr>
              <w:spacing w:line="360" w:lineRule="auto"/>
              <w:ind w:firstLine="480" w:firstLineChars="200"/>
              <w:rPr>
                <w:color w:val="auto"/>
                <w:sz w:val="24"/>
              </w:rPr>
            </w:pPr>
            <w:r>
              <w:rPr>
                <w:rFonts w:hint="eastAsia"/>
                <w:color w:val="auto"/>
                <w:sz w:val="24"/>
              </w:rPr>
              <w:t>2013年2月25日，延长油田股份有限公司定边采油厂委托西安地质矿产研究所和榆林市环境科技咨询服务有限公司合作承担“延长油田股份有限公司定边采油厂56万吨/年产能开发项目”的补办环境影响评价手续。2014年1月21日榆林市环境保护局以榆政环发【2014】22号对《延长油田股份有限公司定边采油厂56万吨/年产能开发项目环境影响报告书》进行了批复。2021年3月，延长油田股份有限公司定边采油厂委托榆林市环境科技咨询服务有限公司编制完成了</w:t>
            </w:r>
            <w:r>
              <w:rPr>
                <w:color w:val="auto"/>
                <w:sz w:val="24"/>
              </w:rPr>
              <w:t>《</w:t>
            </w:r>
            <w:r>
              <w:rPr>
                <w:rFonts w:hint="eastAsia"/>
                <w:color w:val="auto"/>
                <w:sz w:val="24"/>
              </w:rPr>
              <w:t>延长油田股份有限公司定边采油厂56万吨/年产能开发项目竣工环境保护验收调查报告》进行了自主验收。</w:t>
            </w:r>
          </w:p>
          <w:p>
            <w:pPr>
              <w:spacing w:line="360" w:lineRule="auto"/>
              <w:ind w:firstLine="480" w:firstLineChars="200"/>
              <w:rPr>
                <w:color w:val="auto"/>
                <w:sz w:val="24"/>
              </w:rPr>
            </w:pPr>
            <w:r>
              <w:rPr>
                <w:rFonts w:hint="eastAsia"/>
                <w:color w:val="auto"/>
                <w:sz w:val="24"/>
              </w:rPr>
              <w:t>2022年6月7日，延长油田股份有限公司定边采油厂委托榆林市环境科技咨询服务有限公司承担“延长油田股份有限公司定边采油厂新增产能开发项目”的环境影响评价手续，新增产能约50万吨/年。2023年7月18日榆林市行政审批局以榆政审批生态发【2023】104号对《延长油田股份有限公司定边采油厂新增产能开发项目环境影响报告书》进行了批复。该项目目前正在建设，尚未进行自主验收。</w:t>
            </w:r>
          </w:p>
          <w:p>
            <w:pPr>
              <w:spacing w:line="360" w:lineRule="auto"/>
              <w:ind w:firstLine="480" w:firstLineChars="200"/>
              <w:rPr>
                <w:color w:val="auto"/>
                <w:sz w:val="24"/>
              </w:rPr>
            </w:pPr>
            <w:r>
              <w:rPr>
                <w:rFonts w:hint="eastAsia"/>
                <w:color w:val="auto"/>
                <w:sz w:val="24"/>
              </w:rPr>
              <w:t>延长油田股份有限公司定边采油厂按采油队分别办理了固定污染源排污登记回执，本项目涉及的3个采油队排污登记情况见表2-12。</w:t>
            </w:r>
          </w:p>
          <w:p>
            <w:pPr>
              <w:autoSpaceDE w:val="0"/>
              <w:autoSpaceDN w:val="0"/>
              <w:adjustRightInd w:val="0"/>
              <w:jc w:val="center"/>
              <w:rPr>
                <w:rFonts w:eastAsia="黑体"/>
                <w:bCs/>
                <w:color w:val="auto"/>
                <w:kern w:val="0"/>
                <w:szCs w:val="21"/>
              </w:rPr>
            </w:pPr>
            <w:r>
              <w:rPr>
                <w:rFonts w:hint="eastAsia" w:eastAsia="黑体"/>
                <w:bCs/>
                <w:color w:val="auto"/>
                <w:kern w:val="0"/>
                <w:szCs w:val="21"/>
              </w:rPr>
              <w:t>表2-12  本项目涉及的3个采油队排污许可登记情况</w:t>
            </w:r>
          </w:p>
          <w:tbl>
            <w:tblPr>
              <w:tblStyle w:val="35"/>
              <w:tblW w:w="8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6"/>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6" w:type="dxa"/>
                  <w:vAlign w:val="center"/>
                </w:tcPr>
                <w:p>
                  <w:pPr>
                    <w:pStyle w:val="13"/>
                    <w:jc w:val="center"/>
                    <w:rPr>
                      <w:rFonts w:ascii="Times New Roman" w:hAnsi="Times New Roman"/>
                      <w:color w:val="auto"/>
                      <w:szCs w:val="21"/>
                    </w:rPr>
                  </w:pPr>
                  <w:r>
                    <w:rPr>
                      <w:rFonts w:ascii="Times New Roman" w:hAnsi="Times New Roman"/>
                      <w:color w:val="auto"/>
                      <w:szCs w:val="21"/>
                    </w:rPr>
                    <w:t>采油队</w:t>
                  </w:r>
                </w:p>
              </w:tc>
              <w:tc>
                <w:tcPr>
                  <w:tcW w:w="3794" w:type="dxa"/>
                  <w:vAlign w:val="center"/>
                </w:tcPr>
                <w:p>
                  <w:pPr>
                    <w:pStyle w:val="13"/>
                    <w:jc w:val="center"/>
                    <w:rPr>
                      <w:rFonts w:ascii="Times New Roman" w:hAnsi="Times New Roman"/>
                      <w:color w:val="auto"/>
                      <w:szCs w:val="21"/>
                    </w:rPr>
                  </w:pPr>
                  <w:r>
                    <w:rPr>
                      <w:rFonts w:ascii="Times New Roman" w:hAnsi="Times New Roman"/>
                      <w:color w:val="auto"/>
                      <w:szCs w:val="21"/>
                    </w:rPr>
                    <w:t>登记编号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6" w:type="dxa"/>
                  <w:vAlign w:val="center"/>
                </w:tcPr>
                <w:p>
                  <w:pPr>
                    <w:pStyle w:val="13"/>
                    <w:jc w:val="center"/>
                    <w:rPr>
                      <w:rFonts w:ascii="Times New Roman" w:hAnsi="Times New Roman"/>
                      <w:color w:val="auto"/>
                      <w:szCs w:val="21"/>
                    </w:rPr>
                  </w:pPr>
                  <w:r>
                    <w:rPr>
                      <w:rFonts w:ascii="Times New Roman" w:hAnsi="Times New Roman"/>
                      <w:color w:val="auto"/>
                      <w:szCs w:val="21"/>
                    </w:rPr>
                    <w:t>东仁沟采油队</w:t>
                  </w:r>
                </w:p>
              </w:tc>
              <w:tc>
                <w:tcPr>
                  <w:tcW w:w="3794" w:type="dxa"/>
                  <w:vAlign w:val="center"/>
                </w:tcPr>
                <w:p>
                  <w:pPr>
                    <w:pStyle w:val="13"/>
                    <w:jc w:val="center"/>
                    <w:rPr>
                      <w:rFonts w:ascii="Times New Roman" w:hAnsi="Times New Roman"/>
                      <w:color w:val="auto"/>
                      <w:szCs w:val="21"/>
                    </w:rPr>
                  </w:pPr>
                  <w:r>
                    <w:rPr>
                      <w:rFonts w:ascii="Times New Roman" w:hAnsi="Times New Roman"/>
                      <w:color w:val="auto"/>
                      <w:szCs w:val="21"/>
                    </w:rPr>
                    <w:t>91610825224120933M013W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6" w:type="dxa"/>
                  <w:vAlign w:val="center"/>
                </w:tcPr>
                <w:p>
                  <w:pPr>
                    <w:pStyle w:val="13"/>
                    <w:jc w:val="center"/>
                    <w:rPr>
                      <w:rFonts w:ascii="Times New Roman" w:hAnsi="Times New Roman"/>
                      <w:color w:val="auto"/>
                      <w:szCs w:val="21"/>
                    </w:rPr>
                  </w:pPr>
                  <w:r>
                    <w:rPr>
                      <w:rFonts w:hint="eastAsia" w:ascii="Times New Roman" w:hAnsi="Times New Roman"/>
                      <w:color w:val="auto"/>
                      <w:szCs w:val="21"/>
                    </w:rPr>
                    <w:t>五兴庄</w:t>
                  </w:r>
                  <w:r>
                    <w:rPr>
                      <w:rFonts w:ascii="Times New Roman" w:hAnsi="Times New Roman"/>
                      <w:color w:val="auto"/>
                      <w:szCs w:val="21"/>
                    </w:rPr>
                    <w:t>采油队</w:t>
                  </w:r>
                </w:p>
              </w:tc>
              <w:tc>
                <w:tcPr>
                  <w:tcW w:w="3794" w:type="dxa"/>
                  <w:vAlign w:val="center"/>
                </w:tcPr>
                <w:p>
                  <w:pPr>
                    <w:pStyle w:val="13"/>
                    <w:jc w:val="center"/>
                    <w:rPr>
                      <w:rFonts w:ascii="Times New Roman" w:hAnsi="Times New Roman"/>
                      <w:color w:val="auto"/>
                      <w:szCs w:val="21"/>
                    </w:rPr>
                  </w:pPr>
                  <w:r>
                    <w:rPr>
                      <w:rFonts w:ascii="Times New Roman" w:hAnsi="Times New Roman"/>
                      <w:color w:val="auto"/>
                      <w:szCs w:val="21"/>
                    </w:rPr>
                    <w:t>91610825224120933M006X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6" w:type="dxa"/>
                  <w:vAlign w:val="center"/>
                </w:tcPr>
                <w:p>
                  <w:pPr>
                    <w:pStyle w:val="13"/>
                    <w:jc w:val="center"/>
                    <w:rPr>
                      <w:rFonts w:ascii="Times New Roman" w:hAnsi="Times New Roman"/>
                      <w:color w:val="auto"/>
                      <w:szCs w:val="21"/>
                    </w:rPr>
                  </w:pPr>
                  <w:r>
                    <w:rPr>
                      <w:rFonts w:hint="eastAsia" w:ascii="Times New Roman" w:hAnsi="Times New Roman"/>
                      <w:color w:val="auto"/>
                      <w:szCs w:val="21"/>
                      <w:lang w:eastAsia="zh-CN"/>
                    </w:rPr>
                    <w:t>白马崾岘</w:t>
                  </w:r>
                  <w:r>
                    <w:rPr>
                      <w:rFonts w:ascii="Times New Roman" w:hAnsi="Times New Roman"/>
                      <w:color w:val="auto"/>
                      <w:szCs w:val="21"/>
                    </w:rPr>
                    <w:t>采油队</w:t>
                  </w:r>
                </w:p>
              </w:tc>
              <w:tc>
                <w:tcPr>
                  <w:tcW w:w="3794" w:type="dxa"/>
                  <w:vAlign w:val="center"/>
                </w:tcPr>
                <w:p>
                  <w:pPr>
                    <w:pStyle w:val="13"/>
                    <w:jc w:val="center"/>
                    <w:rPr>
                      <w:rFonts w:ascii="Times New Roman" w:hAnsi="Times New Roman"/>
                      <w:color w:val="auto"/>
                      <w:szCs w:val="21"/>
                    </w:rPr>
                  </w:pPr>
                  <w:r>
                    <w:rPr>
                      <w:rFonts w:ascii="Times New Roman" w:hAnsi="Times New Roman"/>
                      <w:color w:val="auto"/>
                      <w:szCs w:val="21"/>
                    </w:rPr>
                    <w:t>91610825224120933M004Y</w:t>
                  </w:r>
                </w:p>
              </w:tc>
            </w:tr>
          </w:tbl>
          <w:p>
            <w:pPr>
              <w:spacing w:line="360" w:lineRule="auto"/>
              <w:ind w:firstLine="482" w:firstLineChars="200"/>
              <w:rPr>
                <w:b/>
                <w:bCs/>
                <w:color w:val="auto"/>
                <w:sz w:val="24"/>
              </w:rPr>
            </w:pPr>
            <w:r>
              <w:rPr>
                <w:rFonts w:hint="eastAsia"/>
                <w:b/>
                <w:bCs/>
                <w:color w:val="auto"/>
                <w:sz w:val="24"/>
              </w:rPr>
              <w:t>2、项目与产能环评及批复的符合性分析</w:t>
            </w:r>
          </w:p>
          <w:p>
            <w:pPr>
              <w:spacing w:line="360" w:lineRule="auto"/>
              <w:ind w:firstLine="480" w:firstLineChars="200"/>
              <w:rPr>
                <w:color w:val="auto"/>
                <w:sz w:val="24"/>
              </w:rPr>
            </w:pPr>
            <w:r>
              <w:rPr>
                <w:rFonts w:hint="eastAsia"/>
                <w:color w:val="auto"/>
                <w:sz w:val="24"/>
              </w:rPr>
              <w:t>2023年7月18日榆林市行政审批局以榆政审批生态发【2023】104号对《延长油田股份有限公司定边采油厂新增产能开发项目环境影响报告书》进行了批复。本项目位于定边采油厂现有产能开发区块内，本次评价按照《延长油田股份有限公司定边采油厂新增产能开发项目环境影响报告书》及其审查意见（榆政审批生态发【2023】104号），对项目产能环评及审查意见进行相关介绍和符合性分析。</w:t>
            </w:r>
          </w:p>
          <w:p>
            <w:pPr>
              <w:spacing w:line="360" w:lineRule="auto"/>
              <w:ind w:firstLine="480" w:firstLineChars="200"/>
              <w:rPr>
                <w:color w:val="auto"/>
                <w:sz w:val="24"/>
              </w:rPr>
            </w:pPr>
            <w:r>
              <w:rPr>
                <w:rFonts w:hint="eastAsia"/>
                <w:color w:val="auto"/>
                <w:sz w:val="24"/>
              </w:rPr>
              <w:t>项目与该产能环评及其批复的符合性分析具体见表1-12。</w:t>
            </w:r>
          </w:p>
          <w:p>
            <w:pPr>
              <w:pStyle w:val="82"/>
              <w:snapToGrid w:val="0"/>
              <w:spacing w:line="360" w:lineRule="auto"/>
              <w:ind w:firstLine="0" w:firstLineChars="0"/>
              <w:jc w:val="center"/>
              <w:rPr>
                <w:rFonts w:ascii="Times New Roman" w:hAnsi="Times New Roman" w:eastAsia="黑体"/>
                <w:color w:val="auto"/>
              </w:rPr>
            </w:pPr>
            <w:r>
              <w:rPr>
                <w:rFonts w:ascii="Times New Roman" w:hAnsi="Times New Roman" w:eastAsia="黑体"/>
                <w:color w:val="auto"/>
              </w:rPr>
              <w:t>表</w:t>
            </w:r>
            <w:r>
              <w:rPr>
                <w:rFonts w:hint="eastAsia" w:ascii="Times New Roman" w:hAnsi="Times New Roman" w:eastAsia="黑体"/>
                <w:color w:val="auto"/>
              </w:rPr>
              <w:t>1-12</w:t>
            </w:r>
            <w:r>
              <w:rPr>
                <w:rFonts w:ascii="Times New Roman" w:hAnsi="Times New Roman" w:eastAsia="黑体"/>
                <w:color w:val="auto"/>
              </w:rPr>
              <w:t xml:space="preserve">  项目与</w:t>
            </w:r>
            <w:r>
              <w:rPr>
                <w:rFonts w:hint="eastAsia" w:ascii="Times New Roman" w:hAnsi="Times New Roman" w:eastAsia="黑体"/>
                <w:color w:val="auto"/>
              </w:rPr>
              <w:t>产能环评及其批复</w:t>
            </w:r>
            <w:r>
              <w:rPr>
                <w:rFonts w:ascii="Times New Roman" w:hAnsi="Times New Roman" w:eastAsia="黑体"/>
                <w:color w:val="auto"/>
              </w:rPr>
              <w:t>的相</w:t>
            </w:r>
            <w:r>
              <w:rPr>
                <w:rFonts w:hint="eastAsia" w:ascii="Times New Roman" w:hAnsi="Times New Roman" w:eastAsia="黑体"/>
                <w:color w:val="auto"/>
              </w:rPr>
              <w:t>符</w:t>
            </w:r>
            <w:r>
              <w:rPr>
                <w:rFonts w:ascii="Times New Roman" w:hAnsi="Times New Roman" w:eastAsia="黑体"/>
                <w:color w:val="auto"/>
              </w:rPr>
              <w:t>性分析</w:t>
            </w:r>
          </w:p>
          <w:tbl>
            <w:tblPr>
              <w:tblStyle w:val="34"/>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905"/>
              <w:gridCol w:w="3596"/>
              <w:gridCol w:w="2689"/>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91" w:hRule="atLeast"/>
                <w:jc w:val="center"/>
              </w:trPr>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类别</w:t>
                  </w:r>
                </w:p>
              </w:tc>
              <w:tc>
                <w:tcPr>
                  <w:tcW w:w="3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要求（摘录）</w:t>
                  </w:r>
                </w:p>
              </w:tc>
              <w:tc>
                <w:tcPr>
                  <w:tcW w:w="2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符合情况分析</w:t>
                  </w:r>
                </w:p>
              </w:tc>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91" w:hRule="atLeast"/>
                <w:jc w:val="center"/>
              </w:trPr>
              <w:tc>
                <w:tcPr>
                  <w:tcW w:w="8198"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产能环评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1424" w:hRule="atLeast"/>
                <w:jc w:val="center"/>
              </w:trPr>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地表水</w:t>
                  </w:r>
                </w:p>
              </w:tc>
              <w:tc>
                <w:tcPr>
                  <w:tcW w:w="3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油田采出水通过撬装污水处理站或依托区域污水处理站处理达标后回注，不外排。</w:t>
                  </w:r>
                </w:p>
                <w:p>
                  <w:pPr>
                    <w:adjustRightInd w:val="0"/>
                    <w:snapToGrid w:val="0"/>
                    <w:spacing w:line="288" w:lineRule="auto"/>
                    <w:jc w:val="center"/>
                    <w:rPr>
                      <w:color w:val="auto"/>
                      <w:kern w:val="0"/>
                      <w:szCs w:val="21"/>
                    </w:rPr>
                  </w:pPr>
                  <w:r>
                    <w:rPr>
                      <w:rFonts w:hint="eastAsia"/>
                      <w:color w:val="auto"/>
                      <w:kern w:val="0"/>
                      <w:szCs w:val="21"/>
                    </w:rPr>
                    <w:t>处理站应选择先进、成熟、可靠的工艺技术，</w:t>
                  </w:r>
                </w:p>
              </w:tc>
              <w:tc>
                <w:tcPr>
                  <w:tcW w:w="2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本项目采出水经采出水处理站处理达标后回注。</w:t>
                  </w:r>
                </w:p>
                <w:p>
                  <w:pPr>
                    <w:adjustRightInd w:val="0"/>
                    <w:snapToGrid w:val="0"/>
                    <w:spacing w:line="288" w:lineRule="auto"/>
                    <w:jc w:val="center"/>
                    <w:rPr>
                      <w:color w:val="auto"/>
                      <w:kern w:val="0"/>
                      <w:szCs w:val="21"/>
                    </w:rPr>
                  </w:pPr>
                  <w:r>
                    <w:rPr>
                      <w:rFonts w:hint="eastAsia"/>
                      <w:color w:val="auto"/>
                      <w:kern w:val="0"/>
                      <w:szCs w:val="21"/>
                    </w:rPr>
                    <w:t>本项目处理工艺较先进、成熟、可靠</w:t>
                  </w:r>
                </w:p>
              </w:tc>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858" w:hRule="atLeast"/>
                <w:jc w:val="center"/>
              </w:trPr>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大气</w:t>
                  </w:r>
                </w:p>
              </w:tc>
              <w:tc>
                <w:tcPr>
                  <w:tcW w:w="3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工艺中采用的阀门、设备等均采用密封性能好的设备，以减少生产过程中的无组织排放量</w:t>
                  </w:r>
                </w:p>
              </w:tc>
              <w:tc>
                <w:tcPr>
                  <w:tcW w:w="2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本项目采用的阀门、设备等均采用密封性能好的设备</w:t>
                  </w:r>
                </w:p>
              </w:tc>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1141" w:hRule="atLeast"/>
                <w:jc w:val="center"/>
              </w:trPr>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地下水、土壤</w:t>
                  </w:r>
                </w:p>
              </w:tc>
              <w:tc>
                <w:tcPr>
                  <w:tcW w:w="3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对泵等设备定期检测、及时修复，防止或减少跑、冒、滴、漏现象；采取相应的防渗措施，并建立完善的风险应急预案</w:t>
                  </w:r>
                </w:p>
              </w:tc>
              <w:tc>
                <w:tcPr>
                  <w:tcW w:w="2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运营期对泵等设备定期进行检修，本项目采取了分区防渗，环境风险应急预案依托采油厂全厂应急预案</w:t>
                  </w:r>
                </w:p>
              </w:tc>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1424" w:hRule="atLeast"/>
                <w:jc w:val="center"/>
              </w:trPr>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固废</w:t>
                  </w:r>
                </w:p>
              </w:tc>
              <w:tc>
                <w:tcPr>
                  <w:tcW w:w="3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危废应分类分区暂存，做到防风、防雨、防流失。设置危险废物识别标志，及时交有资质单位处置。生活垃圾集中收集后送环卫部门统一处理。</w:t>
                  </w:r>
                </w:p>
              </w:tc>
              <w:tc>
                <w:tcPr>
                  <w:tcW w:w="2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本项目危废（污油泥）暂存在密闭的污水污泥罐中，定期委托有资质的单位处置。生活垃圾统一收集后定期拉运。</w:t>
                  </w:r>
                </w:p>
              </w:tc>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1141" w:hRule="atLeast"/>
                <w:jc w:val="center"/>
              </w:trPr>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噪声</w:t>
                  </w:r>
                </w:p>
              </w:tc>
              <w:tc>
                <w:tcPr>
                  <w:tcW w:w="3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设备选型尽可能选择低噪声设备；在场站周围栽种树木进行绿化，阻挡和吸收一定噪声；对各类机泵等在设备底座加隔振垫，从源头上进行控制。</w:t>
                  </w:r>
                </w:p>
              </w:tc>
              <w:tc>
                <w:tcPr>
                  <w:tcW w:w="2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项目泵类等采用低噪声设备，加隔振垫，站场附近绿化较好，厂界设有围墙，可进一步减少噪声影响。</w:t>
                  </w:r>
                </w:p>
              </w:tc>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91" w:hRule="atLeast"/>
                <w:jc w:val="center"/>
              </w:trPr>
              <w:tc>
                <w:tcPr>
                  <w:tcW w:w="8198"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产能环评批复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1424" w:hRule="atLeast"/>
                <w:jc w:val="center"/>
              </w:trPr>
              <w:tc>
                <w:tcPr>
                  <w:tcW w:w="450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加强项目工程建设范围的生态保护和风险管控。禁止采油井、注水井、采出水处理站等工程设置在饮用水水源保护区、永久基本农田、防风固沙及水土流失生态保护红线等各类生态敏感区域。</w:t>
                  </w:r>
                </w:p>
              </w:tc>
              <w:tc>
                <w:tcPr>
                  <w:tcW w:w="2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本项目不涉及饮用水水源保护区、永久基本农田、防风固沙及水土流失生态保护红线等各类生态敏感区域。</w:t>
                  </w:r>
                </w:p>
              </w:tc>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1433" w:hRule="atLeast"/>
                <w:jc w:val="center"/>
              </w:trPr>
              <w:tc>
                <w:tcPr>
                  <w:tcW w:w="450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落实各项环境保护要求。油田采出水通过撬装污水处理站或依托区域污水处理站处理达标后回注，不外排。对项目运行过程中产生的危险废物进行规范管理和处置，严禁随意抛洒、掩埋等违法行为。</w:t>
                  </w:r>
                </w:p>
              </w:tc>
              <w:tc>
                <w:tcPr>
                  <w:tcW w:w="2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本项目的撬装污水处理站处理达标后回注，不外排。危废（污油泥）暂存在密闭的污水污泥罐中，定期委托有资质的单位处置。</w:t>
                  </w:r>
                </w:p>
              </w:tc>
              <w:tc>
                <w:tcPr>
                  <w:tcW w:w="10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color w:val="auto"/>
                      <w:kern w:val="0"/>
                      <w:szCs w:val="21"/>
                    </w:rPr>
                  </w:pPr>
                  <w:r>
                    <w:rPr>
                      <w:rFonts w:hint="eastAsia"/>
                      <w:color w:val="auto"/>
                      <w:kern w:val="0"/>
                      <w:szCs w:val="21"/>
                    </w:rPr>
                    <w:t>符合</w:t>
                  </w:r>
                </w:p>
              </w:tc>
            </w:tr>
          </w:tbl>
          <w:p>
            <w:pPr>
              <w:pStyle w:val="9"/>
              <w:snapToGrid/>
              <w:spacing w:before="0" w:after="0" w:line="360" w:lineRule="auto"/>
              <w:ind w:right="0" w:firstLine="482" w:firstLineChars="200"/>
              <w:rPr>
                <w:b/>
                <w:bCs/>
                <w:color w:val="auto"/>
                <w:sz w:val="24"/>
                <w:szCs w:val="24"/>
              </w:rPr>
            </w:pPr>
            <w:r>
              <w:rPr>
                <w:rFonts w:hint="eastAsia"/>
                <w:b/>
                <w:bCs/>
                <w:color w:val="auto"/>
                <w:sz w:val="24"/>
                <w:szCs w:val="24"/>
              </w:rPr>
              <w:t>3、现有项目组成</w:t>
            </w:r>
          </w:p>
          <w:p>
            <w:pPr>
              <w:pStyle w:val="9"/>
              <w:spacing w:before="0" w:after="0" w:line="360" w:lineRule="auto"/>
              <w:ind w:firstLine="480" w:firstLineChars="200"/>
              <w:rPr>
                <w:color w:val="auto"/>
                <w:kern w:val="2"/>
                <w:sz w:val="24"/>
                <w:szCs w:val="24"/>
              </w:rPr>
            </w:pPr>
            <w:r>
              <w:rPr>
                <w:rFonts w:hint="eastAsia"/>
                <w:color w:val="auto"/>
                <w:kern w:val="2"/>
                <w:sz w:val="24"/>
                <w:szCs w:val="24"/>
              </w:rPr>
              <w:t>本项目来水为集输站三相分离器分离后的采出水，本项目处理站厂址利用已废弃的井场用地，本项目处理后水回注依托站场所属油区的注水站。</w:t>
            </w:r>
          </w:p>
          <w:p>
            <w:pPr>
              <w:pStyle w:val="9"/>
              <w:spacing w:before="0" w:after="0" w:line="360" w:lineRule="auto"/>
              <w:ind w:firstLine="480" w:firstLineChars="200"/>
              <w:rPr>
                <w:color w:val="auto"/>
                <w:kern w:val="2"/>
                <w:sz w:val="24"/>
                <w:szCs w:val="24"/>
              </w:rPr>
            </w:pPr>
            <w:r>
              <w:rPr>
                <w:rFonts w:hint="eastAsia"/>
                <w:color w:val="auto"/>
                <w:kern w:val="2"/>
                <w:sz w:val="24"/>
                <w:szCs w:val="24"/>
              </w:rPr>
              <w:t>①进水</w:t>
            </w:r>
          </w:p>
          <w:p>
            <w:pPr>
              <w:pStyle w:val="9"/>
              <w:spacing w:before="0" w:after="0" w:line="360" w:lineRule="auto"/>
              <w:ind w:firstLine="480" w:firstLineChars="200"/>
              <w:rPr>
                <w:color w:val="auto"/>
                <w:kern w:val="2"/>
                <w:sz w:val="24"/>
                <w:szCs w:val="24"/>
              </w:rPr>
            </w:pPr>
            <w:r>
              <w:rPr>
                <w:rFonts w:hint="eastAsia"/>
                <w:color w:val="auto"/>
                <w:kern w:val="2"/>
                <w:sz w:val="24"/>
                <w:szCs w:val="24"/>
              </w:rPr>
              <w:t>原油集输是将油井中产出的原油在集输站进行计量并将油、气、水三相分离，分离后的净化原油进入净化油罐，加热加压后进行原油外输，分离出的伴生气主要用作燃料，分离出的油田采出水送采出水处理站处理。</w:t>
            </w:r>
          </w:p>
          <w:p>
            <w:pPr>
              <w:pStyle w:val="9"/>
              <w:spacing w:before="0" w:after="0" w:line="360" w:lineRule="auto"/>
              <w:ind w:firstLine="480" w:firstLineChars="200"/>
              <w:rPr>
                <w:color w:val="auto"/>
                <w:kern w:val="2"/>
                <w:sz w:val="24"/>
                <w:szCs w:val="24"/>
              </w:rPr>
            </w:pPr>
            <w:r>
              <w:rPr>
                <w:rFonts w:hint="eastAsia"/>
                <w:color w:val="auto"/>
                <w:kern w:val="2"/>
                <w:sz w:val="24"/>
                <w:szCs w:val="24"/>
              </w:rPr>
              <w:t>本项目</w:t>
            </w:r>
            <w:r>
              <w:rPr>
                <w:color w:val="auto"/>
                <w:kern w:val="2"/>
                <w:sz w:val="24"/>
                <w:szCs w:val="24"/>
              </w:rPr>
              <w:t>2511</w:t>
            </w:r>
            <w:r>
              <w:rPr>
                <w:rFonts w:hint="eastAsia"/>
                <w:color w:val="auto"/>
                <w:kern w:val="2"/>
                <w:sz w:val="24"/>
                <w:szCs w:val="24"/>
              </w:rPr>
              <w:t>处理站、</w:t>
            </w:r>
            <w:r>
              <w:rPr>
                <w:color w:val="auto"/>
                <w:kern w:val="2"/>
                <w:sz w:val="24"/>
                <w:szCs w:val="24"/>
              </w:rPr>
              <w:t>3270</w:t>
            </w:r>
            <w:r>
              <w:rPr>
                <w:rFonts w:hint="eastAsia"/>
                <w:color w:val="auto"/>
                <w:kern w:val="2"/>
                <w:sz w:val="24"/>
                <w:szCs w:val="24"/>
              </w:rPr>
              <w:t>处理站、4926-4处理站的收水范围分别为东仁沟采油队韩渠油区、五兴庄采油队五兴庄油区、</w:t>
            </w:r>
            <w:r>
              <w:rPr>
                <w:rFonts w:hint="eastAsia"/>
                <w:color w:val="auto"/>
                <w:kern w:val="2"/>
                <w:sz w:val="24"/>
                <w:szCs w:val="24"/>
                <w:lang w:eastAsia="zh-CN"/>
              </w:rPr>
              <w:t>白马崾岘</w:t>
            </w:r>
            <w:r>
              <w:rPr>
                <w:rFonts w:hint="eastAsia"/>
                <w:color w:val="auto"/>
                <w:kern w:val="2"/>
                <w:sz w:val="24"/>
                <w:szCs w:val="24"/>
              </w:rPr>
              <w:t>采油队小涧湾油区内集输站油水分离后产生的采出水。</w:t>
            </w:r>
          </w:p>
          <w:p>
            <w:pPr>
              <w:pStyle w:val="9"/>
              <w:spacing w:before="0" w:after="0" w:line="360" w:lineRule="auto"/>
              <w:ind w:firstLine="480" w:firstLineChars="200"/>
              <w:rPr>
                <w:color w:val="auto"/>
                <w:kern w:val="2"/>
                <w:sz w:val="24"/>
                <w:szCs w:val="24"/>
              </w:rPr>
            </w:pPr>
            <w:r>
              <w:rPr>
                <w:rFonts w:hint="eastAsia"/>
                <w:color w:val="auto"/>
                <w:kern w:val="2"/>
                <w:sz w:val="24"/>
                <w:szCs w:val="24"/>
              </w:rPr>
              <w:t>②采出水处理站</w:t>
            </w:r>
          </w:p>
          <w:p>
            <w:pPr>
              <w:pStyle w:val="9"/>
              <w:spacing w:before="0" w:after="0" w:line="360" w:lineRule="auto"/>
              <w:ind w:firstLine="480" w:firstLineChars="200"/>
              <w:rPr>
                <w:color w:val="auto"/>
                <w:kern w:val="2"/>
                <w:sz w:val="24"/>
                <w:szCs w:val="24"/>
              </w:rPr>
            </w:pPr>
            <w:r>
              <w:rPr>
                <w:rFonts w:hint="eastAsia"/>
                <w:color w:val="auto"/>
                <w:kern w:val="2"/>
                <w:sz w:val="24"/>
                <w:szCs w:val="24"/>
              </w:rPr>
              <w:t>本项目建设</w:t>
            </w:r>
            <w:r>
              <w:rPr>
                <w:color w:val="auto"/>
                <w:kern w:val="2"/>
                <w:sz w:val="24"/>
                <w:szCs w:val="24"/>
              </w:rPr>
              <w:t>2511</w:t>
            </w:r>
            <w:r>
              <w:rPr>
                <w:rFonts w:hint="eastAsia"/>
                <w:color w:val="auto"/>
                <w:kern w:val="2"/>
                <w:sz w:val="24"/>
                <w:szCs w:val="24"/>
              </w:rPr>
              <w:t>采出水处理站、</w:t>
            </w:r>
            <w:r>
              <w:rPr>
                <w:color w:val="auto"/>
                <w:kern w:val="2"/>
                <w:sz w:val="24"/>
                <w:szCs w:val="24"/>
              </w:rPr>
              <w:t>3270</w:t>
            </w:r>
            <w:r>
              <w:rPr>
                <w:rFonts w:hint="eastAsia"/>
                <w:color w:val="auto"/>
                <w:kern w:val="2"/>
                <w:sz w:val="24"/>
                <w:szCs w:val="24"/>
              </w:rPr>
              <w:t>采出水处理站、4926-4采出水处理站。</w:t>
            </w:r>
          </w:p>
          <w:p>
            <w:pPr>
              <w:pStyle w:val="9"/>
              <w:spacing w:before="0" w:after="0" w:line="360" w:lineRule="auto"/>
              <w:ind w:firstLine="480" w:firstLineChars="200"/>
              <w:rPr>
                <w:color w:val="auto"/>
                <w:kern w:val="2"/>
                <w:sz w:val="24"/>
                <w:szCs w:val="24"/>
              </w:rPr>
            </w:pPr>
            <w:r>
              <w:rPr>
                <w:rFonts w:hint="eastAsia"/>
                <w:color w:val="auto"/>
                <w:kern w:val="2"/>
                <w:sz w:val="24"/>
                <w:szCs w:val="24"/>
              </w:rPr>
              <w:t>2511站原为采油站，现为注水站，现主要用1口注水井将处理后水回注。站内运行的装置包括注水井装置和值班撬。站内的采油井已废弃，但废弃的采油井装置、电线杆、生活区砖房目前尚未拆除，废弃的泥浆坑、雨水池也尚未恢复。</w:t>
            </w:r>
          </w:p>
          <w:p>
            <w:pPr>
              <w:pStyle w:val="9"/>
              <w:spacing w:before="0" w:after="0" w:line="360" w:lineRule="auto"/>
              <w:ind w:firstLine="480" w:firstLineChars="200"/>
              <w:rPr>
                <w:color w:val="auto"/>
                <w:kern w:val="2"/>
                <w:sz w:val="24"/>
                <w:szCs w:val="24"/>
              </w:rPr>
            </w:pPr>
            <w:r>
              <w:rPr>
                <w:rFonts w:hint="eastAsia"/>
                <w:color w:val="auto"/>
                <w:kern w:val="2"/>
                <w:sz w:val="24"/>
                <w:szCs w:val="24"/>
              </w:rPr>
              <w:t>3270站原为采油站，现为注水站和原油集输站，现主要用1口注水井将处理后水回注，将其他站拉运来的原油进行初步分离。站内运行的装置包括注水井装置、三相分离器、气液分离器、储油箱、污油池、总机关控制室、换热器、锅炉间和办公区。站内的采油井已废弃，但废弃的采油井装置、计量间、工具间、生活区砖房目前尚未拆除，废弃的煤池也尚未拆除恢复。站内的燃煤锅炉房已于2022年改为燃气锅炉，但堆煤池尚未清除。</w:t>
            </w:r>
          </w:p>
          <w:p>
            <w:pPr>
              <w:pStyle w:val="9"/>
              <w:spacing w:before="0" w:after="0" w:line="360" w:lineRule="auto"/>
              <w:ind w:firstLine="480" w:firstLineChars="200"/>
              <w:rPr>
                <w:color w:val="auto"/>
                <w:kern w:val="2"/>
                <w:sz w:val="24"/>
                <w:szCs w:val="24"/>
              </w:rPr>
            </w:pPr>
            <w:r>
              <w:rPr>
                <w:rFonts w:hint="eastAsia"/>
                <w:color w:val="auto"/>
                <w:kern w:val="2"/>
                <w:sz w:val="24"/>
                <w:szCs w:val="24"/>
              </w:rPr>
              <w:t>4926-4站原为采油站，现为注水站，现主要用3口注水井将处理后水回注。站内运行的装置包括注水撬、配水间、注水井、空置箱体、净化水箱、水源井、值班室。站内废弃的柴油发电机、工具间目前尚未拆除。</w:t>
            </w:r>
          </w:p>
          <w:p>
            <w:pPr>
              <w:pStyle w:val="9"/>
              <w:spacing w:before="0" w:after="0" w:line="360" w:lineRule="auto"/>
              <w:ind w:firstLine="480" w:firstLineChars="200"/>
              <w:rPr>
                <w:color w:val="auto"/>
                <w:kern w:val="2"/>
                <w:sz w:val="24"/>
                <w:szCs w:val="24"/>
              </w:rPr>
            </w:pPr>
            <w:r>
              <w:rPr>
                <w:rFonts w:hint="eastAsia"/>
                <w:color w:val="auto"/>
                <w:kern w:val="2"/>
                <w:sz w:val="24"/>
                <w:szCs w:val="24"/>
              </w:rPr>
              <w:t>污水处理站现有项目组成见表2-13至表2-15。</w:t>
            </w:r>
          </w:p>
          <w:p>
            <w:pPr>
              <w:pStyle w:val="33"/>
              <w:ind w:left="0" w:leftChars="0" w:firstLine="0"/>
              <w:jc w:val="center"/>
              <w:rPr>
                <w:rFonts w:ascii="黑体" w:hAnsi="黑体" w:eastAsia="黑体" w:cs="黑体"/>
                <w:color w:val="auto"/>
                <w:sz w:val="21"/>
                <w:szCs w:val="21"/>
              </w:rPr>
            </w:pPr>
            <w:r>
              <w:rPr>
                <w:rFonts w:hint="eastAsia" w:ascii="黑体" w:hAnsi="黑体" w:eastAsia="黑体" w:cs="黑体"/>
                <w:color w:val="auto"/>
                <w:sz w:val="21"/>
                <w:szCs w:val="21"/>
              </w:rPr>
              <w:t>表2-13  2511站现有项目组成一览表</w:t>
            </w:r>
          </w:p>
          <w:tbl>
            <w:tblPr>
              <w:tblStyle w:val="34"/>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3325"/>
              <w:gridCol w:w="1693"/>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color w:val="auto"/>
                      <w:szCs w:val="21"/>
                    </w:rPr>
                    <w:t>分类</w:t>
                  </w:r>
                </w:p>
              </w:tc>
              <w:tc>
                <w:tcPr>
                  <w:tcW w:w="332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color w:val="auto"/>
                      <w:szCs w:val="21"/>
                    </w:rPr>
                    <w:t>工程内容</w:t>
                  </w:r>
                </w:p>
              </w:tc>
              <w:tc>
                <w:tcPr>
                  <w:tcW w:w="16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color w:val="auto"/>
                      <w:szCs w:val="21"/>
                    </w:rPr>
                    <w:t>单位</w:t>
                  </w:r>
                </w:p>
              </w:tc>
              <w:tc>
                <w:tcPr>
                  <w:tcW w:w="1641" w:type="dxa"/>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color w:val="auto"/>
                      <w:szCs w:val="21"/>
                    </w:rPr>
                    <w:t>一、</w:t>
                  </w:r>
                  <w:r>
                    <w:rPr>
                      <w:rFonts w:hint="eastAsia"/>
                      <w:color w:val="auto"/>
                      <w:szCs w:val="21"/>
                    </w:rPr>
                    <w:t>主体</w:t>
                  </w:r>
                  <w:r>
                    <w:rPr>
                      <w:color w:val="auto"/>
                      <w:szCs w:val="21"/>
                    </w:rPr>
                    <w:t>工程</w:t>
                  </w:r>
                </w:p>
              </w:tc>
              <w:tc>
                <w:tcPr>
                  <w:tcW w:w="332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注水井装置</w:t>
                  </w:r>
                </w:p>
              </w:tc>
              <w:tc>
                <w:tcPr>
                  <w:tcW w:w="16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color w:val="auto"/>
                      <w:szCs w:val="21"/>
                    </w:rPr>
                    <w:t>套</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p>
              </w:tc>
              <w:tc>
                <w:tcPr>
                  <w:tcW w:w="332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color w:val="auto"/>
                      <w:szCs w:val="21"/>
                    </w:rPr>
                    <w:t>采油井装置</w:t>
                  </w:r>
                  <w:r>
                    <w:rPr>
                      <w:rFonts w:hint="eastAsia"/>
                      <w:color w:val="auto"/>
                      <w:szCs w:val="21"/>
                    </w:rPr>
                    <w:t>（废弃）</w:t>
                  </w:r>
                </w:p>
              </w:tc>
              <w:tc>
                <w:tcPr>
                  <w:tcW w:w="16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color w:val="auto"/>
                      <w:szCs w:val="21"/>
                    </w:rPr>
                    <w:t>套</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restart"/>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color w:val="auto"/>
                      <w:szCs w:val="21"/>
                    </w:rPr>
                    <w:t>二、</w:t>
                  </w:r>
                  <w:r>
                    <w:rPr>
                      <w:rFonts w:hint="eastAsia"/>
                      <w:color w:val="auto"/>
                      <w:szCs w:val="21"/>
                    </w:rPr>
                    <w:t>辅助工程</w:t>
                  </w:r>
                </w:p>
              </w:tc>
              <w:tc>
                <w:tcPr>
                  <w:tcW w:w="332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泥浆坑（废弃）</w:t>
                  </w:r>
                </w:p>
              </w:tc>
              <w:tc>
                <w:tcPr>
                  <w:tcW w:w="16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个</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left w:val="single" w:color="auto" w:sz="4" w:space="0"/>
                    <w:right w:val="single" w:color="auto" w:sz="4" w:space="0"/>
                  </w:tcBorders>
                  <w:vAlign w:val="center"/>
                </w:tcPr>
                <w:p>
                  <w:pPr>
                    <w:snapToGrid w:val="0"/>
                    <w:spacing w:line="240" w:lineRule="exact"/>
                    <w:jc w:val="center"/>
                    <w:rPr>
                      <w:color w:val="auto"/>
                      <w:szCs w:val="21"/>
                    </w:rPr>
                  </w:pPr>
                </w:p>
              </w:tc>
              <w:tc>
                <w:tcPr>
                  <w:tcW w:w="332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雨水池（废弃）</w:t>
                  </w:r>
                </w:p>
              </w:tc>
              <w:tc>
                <w:tcPr>
                  <w:tcW w:w="16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个</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restart"/>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color w:val="auto"/>
                      <w:szCs w:val="21"/>
                    </w:rPr>
                    <w:t>三、公用工程</w:t>
                  </w:r>
                </w:p>
              </w:tc>
              <w:tc>
                <w:tcPr>
                  <w:tcW w:w="3325" w:type="dxa"/>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值班撬</w:t>
                  </w:r>
                </w:p>
              </w:tc>
              <w:tc>
                <w:tcPr>
                  <w:tcW w:w="1693" w:type="dxa"/>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个</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left w:val="single" w:color="auto" w:sz="4" w:space="0"/>
                    <w:right w:val="single" w:color="auto" w:sz="4" w:space="0"/>
                  </w:tcBorders>
                  <w:vAlign w:val="center"/>
                </w:tcPr>
                <w:p>
                  <w:pPr>
                    <w:snapToGrid w:val="0"/>
                    <w:spacing w:line="240" w:lineRule="exact"/>
                    <w:jc w:val="center"/>
                    <w:rPr>
                      <w:color w:val="auto"/>
                      <w:szCs w:val="21"/>
                    </w:rPr>
                  </w:pPr>
                </w:p>
              </w:tc>
              <w:tc>
                <w:tcPr>
                  <w:tcW w:w="3325" w:type="dxa"/>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生活区砖房（废弃）</w:t>
                  </w:r>
                </w:p>
              </w:tc>
              <w:tc>
                <w:tcPr>
                  <w:tcW w:w="1693" w:type="dxa"/>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个</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left w:val="single" w:color="auto" w:sz="4" w:space="0"/>
                    <w:right w:val="single" w:color="auto" w:sz="4" w:space="0"/>
                  </w:tcBorders>
                  <w:vAlign w:val="center"/>
                </w:tcPr>
                <w:p>
                  <w:pPr>
                    <w:snapToGrid w:val="0"/>
                    <w:spacing w:line="240" w:lineRule="exact"/>
                    <w:jc w:val="center"/>
                    <w:rPr>
                      <w:color w:val="auto"/>
                      <w:szCs w:val="21"/>
                    </w:rPr>
                  </w:pPr>
                </w:p>
              </w:tc>
              <w:tc>
                <w:tcPr>
                  <w:tcW w:w="3325" w:type="dxa"/>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电线杆（废弃）</w:t>
                  </w:r>
                </w:p>
              </w:tc>
              <w:tc>
                <w:tcPr>
                  <w:tcW w:w="1693" w:type="dxa"/>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个</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2</w:t>
                  </w:r>
                </w:p>
              </w:tc>
            </w:tr>
          </w:tbl>
          <w:p>
            <w:pPr>
              <w:pStyle w:val="33"/>
              <w:ind w:left="0" w:leftChars="0" w:firstLine="0"/>
              <w:jc w:val="center"/>
              <w:rPr>
                <w:rFonts w:ascii="黑体" w:hAnsi="黑体" w:eastAsia="黑体" w:cs="黑体"/>
                <w:color w:val="auto"/>
                <w:sz w:val="21"/>
                <w:szCs w:val="21"/>
              </w:rPr>
            </w:pPr>
            <w:r>
              <w:rPr>
                <w:rFonts w:hint="eastAsia" w:ascii="黑体" w:hAnsi="黑体" w:eastAsia="黑体" w:cs="黑体"/>
                <w:color w:val="auto"/>
                <w:sz w:val="21"/>
                <w:szCs w:val="21"/>
              </w:rPr>
              <w:t>表2-14  3270站现有项目组成一览表</w:t>
            </w:r>
          </w:p>
          <w:tbl>
            <w:tblPr>
              <w:tblStyle w:val="34"/>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3340"/>
              <w:gridCol w:w="1678"/>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分类</w:t>
                  </w:r>
                </w:p>
              </w:tc>
              <w:tc>
                <w:tcPr>
                  <w:tcW w:w="334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工程内容</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单位</w:t>
                  </w:r>
                </w:p>
              </w:tc>
              <w:tc>
                <w:tcPr>
                  <w:tcW w:w="1641" w:type="dxa"/>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一、主体工程</w:t>
                  </w:r>
                </w:p>
              </w:tc>
              <w:tc>
                <w:tcPr>
                  <w:tcW w:w="334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注水井装置</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套</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p>
              </w:tc>
              <w:tc>
                <w:tcPr>
                  <w:tcW w:w="334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三相分离器</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套</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p>
              </w:tc>
              <w:tc>
                <w:tcPr>
                  <w:tcW w:w="334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气液分离器</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套</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p>
              </w:tc>
              <w:tc>
                <w:tcPr>
                  <w:tcW w:w="334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采油井装置（废弃）</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套</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restart"/>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二、辅助工程</w:t>
                  </w:r>
                </w:p>
              </w:tc>
              <w:tc>
                <w:tcPr>
                  <w:tcW w:w="334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储油箱</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个</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left w:val="single" w:color="auto" w:sz="4" w:space="0"/>
                    <w:right w:val="single" w:color="auto" w:sz="4" w:space="0"/>
                  </w:tcBorders>
                  <w:vAlign w:val="center"/>
                </w:tcPr>
                <w:p>
                  <w:pPr>
                    <w:snapToGrid w:val="0"/>
                    <w:spacing w:line="240" w:lineRule="exact"/>
                    <w:jc w:val="center"/>
                    <w:rPr>
                      <w:color w:val="auto"/>
                      <w:szCs w:val="21"/>
                    </w:rPr>
                  </w:pPr>
                </w:p>
              </w:tc>
              <w:tc>
                <w:tcPr>
                  <w:tcW w:w="334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污油池</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个</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left w:val="single" w:color="auto" w:sz="4" w:space="0"/>
                    <w:right w:val="single" w:color="auto" w:sz="4" w:space="0"/>
                  </w:tcBorders>
                  <w:vAlign w:val="center"/>
                </w:tcPr>
                <w:p>
                  <w:pPr>
                    <w:snapToGrid w:val="0"/>
                    <w:spacing w:line="240" w:lineRule="exact"/>
                    <w:jc w:val="center"/>
                    <w:rPr>
                      <w:color w:val="auto"/>
                      <w:szCs w:val="21"/>
                    </w:rPr>
                  </w:pPr>
                </w:p>
              </w:tc>
              <w:tc>
                <w:tcPr>
                  <w:tcW w:w="334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总机关控制室</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个</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left w:val="single" w:color="auto" w:sz="4" w:space="0"/>
                    <w:right w:val="single" w:color="auto" w:sz="4" w:space="0"/>
                  </w:tcBorders>
                  <w:vAlign w:val="center"/>
                </w:tcPr>
                <w:p>
                  <w:pPr>
                    <w:snapToGrid w:val="0"/>
                    <w:spacing w:line="240" w:lineRule="exact"/>
                    <w:jc w:val="center"/>
                    <w:rPr>
                      <w:color w:val="auto"/>
                      <w:szCs w:val="21"/>
                    </w:rPr>
                  </w:pPr>
                </w:p>
              </w:tc>
              <w:tc>
                <w:tcPr>
                  <w:tcW w:w="334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换热器</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套</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left w:val="single" w:color="auto" w:sz="4" w:space="0"/>
                    <w:right w:val="single" w:color="auto" w:sz="4" w:space="0"/>
                  </w:tcBorders>
                  <w:vAlign w:val="center"/>
                </w:tcPr>
                <w:p>
                  <w:pPr>
                    <w:snapToGrid w:val="0"/>
                    <w:spacing w:line="240" w:lineRule="exact"/>
                    <w:jc w:val="center"/>
                    <w:rPr>
                      <w:color w:val="auto"/>
                      <w:szCs w:val="21"/>
                    </w:rPr>
                  </w:pPr>
                </w:p>
              </w:tc>
              <w:tc>
                <w:tcPr>
                  <w:tcW w:w="334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锅炉间</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个</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left w:val="single" w:color="auto" w:sz="4" w:space="0"/>
                    <w:right w:val="single" w:color="auto" w:sz="4" w:space="0"/>
                  </w:tcBorders>
                  <w:vAlign w:val="center"/>
                </w:tcPr>
                <w:p>
                  <w:pPr>
                    <w:snapToGrid w:val="0"/>
                    <w:spacing w:line="240" w:lineRule="exact"/>
                    <w:jc w:val="center"/>
                    <w:rPr>
                      <w:color w:val="auto"/>
                      <w:szCs w:val="21"/>
                    </w:rPr>
                  </w:pPr>
                </w:p>
              </w:tc>
              <w:tc>
                <w:tcPr>
                  <w:tcW w:w="334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煤池（废弃）</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个</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left w:val="single" w:color="auto" w:sz="4" w:space="0"/>
                    <w:right w:val="single" w:color="auto" w:sz="4" w:space="0"/>
                  </w:tcBorders>
                  <w:vAlign w:val="center"/>
                </w:tcPr>
                <w:p>
                  <w:pPr>
                    <w:snapToGrid w:val="0"/>
                    <w:spacing w:line="240" w:lineRule="exact"/>
                    <w:jc w:val="center"/>
                    <w:rPr>
                      <w:color w:val="auto"/>
                      <w:szCs w:val="21"/>
                    </w:rPr>
                  </w:pPr>
                </w:p>
              </w:tc>
              <w:tc>
                <w:tcPr>
                  <w:tcW w:w="334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计量间（废弃）</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间</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left w:val="single" w:color="auto" w:sz="4" w:space="0"/>
                    <w:right w:val="single" w:color="auto" w:sz="4" w:space="0"/>
                  </w:tcBorders>
                  <w:vAlign w:val="center"/>
                </w:tcPr>
                <w:p>
                  <w:pPr>
                    <w:snapToGrid w:val="0"/>
                    <w:spacing w:line="240" w:lineRule="exact"/>
                    <w:jc w:val="center"/>
                    <w:rPr>
                      <w:color w:val="auto"/>
                      <w:szCs w:val="21"/>
                    </w:rPr>
                  </w:pPr>
                </w:p>
              </w:tc>
              <w:tc>
                <w:tcPr>
                  <w:tcW w:w="334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工具间（废弃）</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间</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三、公用工程</w:t>
                  </w:r>
                </w:p>
              </w:tc>
              <w:tc>
                <w:tcPr>
                  <w:tcW w:w="3340" w:type="dxa"/>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办公区</w:t>
                  </w:r>
                </w:p>
              </w:tc>
              <w:tc>
                <w:tcPr>
                  <w:tcW w:w="1678" w:type="dxa"/>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间</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3</w:t>
                  </w:r>
                </w:p>
              </w:tc>
            </w:tr>
          </w:tbl>
          <w:p>
            <w:pPr>
              <w:pStyle w:val="33"/>
              <w:ind w:left="0" w:leftChars="0" w:firstLine="0"/>
              <w:jc w:val="center"/>
              <w:rPr>
                <w:rFonts w:ascii="黑体" w:hAnsi="黑体" w:eastAsia="黑体" w:cs="黑体"/>
                <w:color w:val="auto"/>
                <w:sz w:val="21"/>
                <w:szCs w:val="21"/>
              </w:rPr>
            </w:pPr>
            <w:r>
              <w:rPr>
                <w:rFonts w:hint="eastAsia" w:ascii="黑体" w:hAnsi="黑体" w:eastAsia="黑体" w:cs="黑体"/>
                <w:color w:val="auto"/>
                <w:sz w:val="21"/>
                <w:szCs w:val="21"/>
              </w:rPr>
              <w:t>表2-15  4926-4站现有项目组成一览表</w:t>
            </w:r>
          </w:p>
          <w:tbl>
            <w:tblPr>
              <w:tblStyle w:val="34"/>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3325"/>
              <w:gridCol w:w="1693"/>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color w:val="auto"/>
                      <w:szCs w:val="21"/>
                    </w:rPr>
                    <w:t>分类</w:t>
                  </w:r>
                </w:p>
              </w:tc>
              <w:tc>
                <w:tcPr>
                  <w:tcW w:w="332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color w:val="auto"/>
                      <w:szCs w:val="21"/>
                    </w:rPr>
                    <w:t>工程内容</w:t>
                  </w:r>
                </w:p>
              </w:tc>
              <w:tc>
                <w:tcPr>
                  <w:tcW w:w="16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color w:val="auto"/>
                      <w:szCs w:val="21"/>
                    </w:rPr>
                    <w:t>单位</w:t>
                  </w:r>
                </w:p>
              </w:tc>
              <w:tc>
                <w:tcPr>
                  <w:tcW w:w="1641" w:type="dxa"/>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color w:val="auto"/>
                      <w:szCs w:val="21"/>
                    </w:rPr>
                    <w:t>一、</w:t>
                  </w:r>
                  <w:r>
                    <w:rPr>
                      <w:rFonts w:hint="eastAsia"/>
                      <w:color w:val="auto"/>
                      <w:szCs w:val="21"/>
                    </w:rPr>
                    <w:t>主体</w:t>
                  </w:r>
                  <w:r>
                    <w:rPr>
                      <w:color w:val="auto"/>
                      <w:szCs w:val="21"/>
                    </w:rPr>
                    <w:t>工程</w:t>
                  </w:r>
                </w:p>
              </w:tc>
              <w:tc>
                <w:tcPr>
                  <w:tcW w:w="332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注水撬</w:t>
                  </w:r>
                </w:p>
              </w:tc>
              <w:tc>
                <w:tcPr>
                  <w:tcW w:w="16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color w:val="auto"/>
                      <w:szCs w:val="21"/>
                    </w:rPr>
                    <w:t>套</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left w:val="single" w:color="auto" w:sz="4" w:space="0"/>
                    <w:right w:val="single" w:color="auto" w:sz="4" w:space="0"/>
                  </w:tcBorders>
                  <w:vAlign w:val="center"/>
                </w:tcPr>
                <w:p>
                  <w:pPr>
                    <w:snapToGrid w:val="0"/>
                    <w:spacing w:line="240" w:lineRule="exact"/>
                    <w:jc w:val="center"/>
                    <w:rPr>
                      <w:color w:val="auto"/>
                      <w:szCs w:val="21"/>
                    </w:rPr>
                  </w:pPr>
                </w:p>
              </w:tc>
              <w:tc>
                <w:tcPr>
                  <w:tcW w:w="332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配水间</w:t>
                  </w:r>
                </w:p>
              </w:tc>
              <w:tc>
                <w:tcPr>
                  <w:tcW w:w="16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color w:val="auto"/>
                      <w:szCs w:val="21"/>
                    </w:rPr>
                    <w:t>套</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p>
              </w:tc>
              <w:tc>
                <w:tcPr>
                  <w:tcW w:w="332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注水井</w:t>
                  </w:r>
                </w:p>
              </w:tc>
              <w:tc>
                <w:tcPr>
                  <w:tcW w:w="16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口</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restart"/>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color w:val="auto"/>
                      <w:szCs w:val="21"/>
                    </w:rPr>
                    <w:t>二、</w:t>
                  </w:r>
                  <w:r>
                    <w:rPr>
                      <w:rFonts w:hint="eastAsia"/>
                      <w:color w:val="auto"/>
                      <w:szCs w:val="21"/>
                    </w:rPr>
                    <w:t>辅助工程</w:t>
                  </w:r>
                </w:p>
              </w:tc>
              <w:tc>
                <w:tcPr>
                  <w:tcW w:w="332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空置箱体</w:t>
                  </w:r>
                </w:p>
              </w:tc>
              <w:tc>
                <w:tcPr>
                  <w:tcW w:w="16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个</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left w:val="single" w:color="auto" w:sz="4" w:space="0"/>
                    <w:right w:val="single" w:color="auto" w:sz="4" w:space="0"/>
                  </w:tcBorders>
                  <w:vAlign w:val="center"/>
                </w:tcPr>
                <w:p>
                  <w:pPr>
                    <w:snapToGrid w:val="0"/>
                    <w:spacing w:line="240" w:lineRule="exact"/>
                    <w:jc w:val="center"/>
                    <w:rPr>
                      <w:color w:val="auto"/>
                      <w:szCs w:val="21"/>
                    </w:rPr>
                  </w:pPr>
                </w:p>
              </w:tc>
              <w:tc>
                <w:tcPr>
                  <w:tcW w:w="332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净化水箱</w:t>
                  </w:r>
                </w:p>
              </w:tc>
              <w:tc>
                <w:tcPr>
                  <w:tcW w:w="16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个</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left w:val="single" w:color="auto" w:sz="4" w:space="0"/>
                    <w:right w:val="single" w:color="auto" w:sz="4" w:space="0"/>
                  </w:tcBorders>
                  <w:vAlign w:val="center"/>
                </w:tcPr>
                <w:p>
                  <w:pPr>
                    <w:snapToGrid w:val="0"/>
                    <w:spacing w:line="240" w:lineRule="exact"/>
                    <w:jc w:val="center"/>
                    <w:rPr>
                      <w:color w:val="auto"/>
                      <w:szCs w:val="21"/>
                    </w:rPr>
                  </w:pPr>
                </w:p>
              </w:tc>
              <w:tc>
                <w:tcPr>
                  <w:tcW w:w="332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柴油发电机（废弃）</w:t>
                  </w:r>
                </w:p>
              </w:tc>
              <w:tc>
                <w:tcPr>
                  <w:tcW w:w="16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个</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left w:val="single" w:color="auto" w:sz="4" w:space="0"/>
                    <w:right w:val="single" w:color="auto" w:sz="4" w:space="0"/>
                  </w:tcBorders>
                  <w:vAlign w:val="center"/>
                </w:tcPr>
                <w:p>
                  <w:pPr>
                    <w:snapToGrid w:val="0"/>
                    <w:spacing w:line="240" w:lineRule="exact"/>
                    <w:jc w:val="center"/>
                    <w:rPr>
                      <w:color w:val="auto"/>
                      <w:szCs w:val="21"/>
                    </w:rPr>
                  </w:pPr>
                </w:p>
              </w:tc>
              <w:tc>
                <w:tcPr>
                  <w:tcW w:w="332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工具间（废弃）</w:t>
                  </w:r>
                </w:p>
              </w:tc>
              <w:tc>
                <w:tcPr>
                  <w:tcW w:w="16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间</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vMerge w:val="continue"/>
                  <w:tcBorders>
                    <w:left w:val="single" w:color="auto" w:sz="4" w:space="0"/>
                    <w:right w:val="single" w:color="auto" w:sz="4" w:space="0"/>
                  </w:tcBorders>
                  <w:vAlign w:val="center"/>
                </w:tcPr>
                <w:p>
                  <w:pPr>
                    <w:snapToGrid w:val="0"/>
                    <w:spacing w:line="240" w:lineRule="exact"/>
                    <w:jc w:val="center"/>
                    <w:rPr>
                      <w:color w:val="auto"/>
                      <w:szCs w:val="21"/>
                    </w:rPr>
                  </w:pPr>
                </w:p>
              </w:tc>
              <w:tc>
                <w:tcPr>
                  <w:tcW w:w="332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水源井</w:t>
                  </w:r>
                </w:p>
              </w:tc>
              <w:tc>
                <w:tcPr>
                  <w:tcW w:w="16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口</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1" w:type="dxa"/>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color w:val="auto"/>
                      <w:szCs w:val="21"/>
                    </w:rPr>
                    <w:t>三、公用工程</w:t>
                  </w:r>
                </w:p>
              </w:tc>
              <w:tc>
                <w:tcPr>
                  <w:tcW w:w="3325" w:type="dxa"/>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值班室</w:t>
                  </w:r>
                </w:p>
              </w:tc>
              <w:tc>
                <w:tcPr>
                  <w:tcW w:w="1693" w:type="dxa"/>
                  <w:tcBorders>
                    <w:top w:val="single" w:color="auto" w:sz="4" w:space="0"/>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间</w:t>
                  </w:r>
                </w:p>
              </w:tc>
              <w:tc>
                <w:tcPr>
                  <w:tcW w:w="1641" w:type="dxa"/>
                  <w:tcBorders>
                    <w:left w:val="single" w:color="auto" w:sz="4" w:space="0"/>
                    <w:right w:val="single" w:color="auto" w:sz="4" w:space="0"/>
                  </w:tcBorders>
                  <w:vAlign w:val="center"/>
                </w:tcPr>
                <w:p>
                  <w:pPr>
                    <w:snapToGrid w:val="0"/>
                    <w:spacing w:line="240" w:lineRule="exact"/>
                    <w:jc w:val="center"/>
                    <w:rPr>
                      <w:color w:val="auto"/>
                      <w:szCs w:val="21"/>
                    </w:rPr>
                  </w:pPr>
                  <w:r>
                    <w:rPr>
                      <w:rFonts w:hint="eastAsia"/>
                      <w:color w:val="auto"/>
                      <w:szCs w:val="21"/>
                    </w:rPr>
                    <w:t>1</w:t>
                  </w:r>
                </w:p>
              </w:tc>
            </w:tr>
          </w:tbl>
          <w:p>
            <w:pPr>
              <w:pStyle w:val="9"/>
              <w:spacing w:before="0" w:after="0" w:line="360" w:lineRule="auto"/>
              <w:ind w:firstLine="480" w:firstLineChars="200"/>
              <w:rPr>
                <w:color w:val="auto"/>
                <w:kern w:val="2"/>
                <w:sz w:val="24"/>
                <w:szCs w:val="24"/>
              </w:rPr>
            </w:pPr>
            <w:r>
              <w:rPr>
                <w:rFonts w:hint="eastAsia"/>
                <w:color w:val="auto"/>
                <w:kern w:val="2"/>
                <w:sz w:val="24"/>
                <w:szCs w:val="24"/>
              </w:rPr>
              <w:t>③注水站</w:t>
            </w:r>
          </w:p>
          <w:p>
            <w:pPr>
              <w:pStyle w:val="9"/>
              <w:spacing w:before="0" w:after="0" w:line="360" w:lineRule="auto"/>
              <w:ind w:firstLine="480" w:firstLineChars="200"/>
              <w:rPr>
                <w:color w:val="auto"/>
                <w:kern w:val="2"/>
                <w:sz w:val="24"/>
                <w:szCs w:val="24"/>
              </w:rPr>
            </w:pPr>
            <w:r>
              <w:rPr>
                <w:rFonts w:hint="eastAsia"/>
                <w:color w:val="auto"/>
                <w:kern w:val="2"/>
                <w:sz w:val="24"/>
                <w:szCs w:val="24"/>
              </w:rPr>
              <w:t>油田开发过程中，为保持或恢复油层压力，使油藏有较强的驱动力，稳定油井采收率，提高油藏的开采速度和采收率保持油层压力，采用向油层注水的方式，驱替原油，即水驱采油的方法。根据建设单位介绍，无论是清水注水还是采出水注水，注水井均采取开采油层同层回注。可见目前建设单位均采取向油层注水的方式，即采取有效回注的方式进行回注，提高了油层驱油的效果，而且避免了采用边际回注带来的地层压力下降问题。</w:t>
            </w:r>
          </w:p>
          <w:p>
            <w:pPr>
              <w:pStyle w:val="9"/>
              <w:spacing w:before="0" w:after="0" w:line="360" w:lineRule="auto"/>
              <w:ind w:firstLine="480" w:firstLineChars="200"/>
              <w:rPr>
                <w:color w:val="auto"/>
                <w:kern w:val="2"/>
                <w:sz w:val="24"/>
                <w:szCs w:val="24"/>
              </w:rPr>
            </w:pPr>
            <w:r>
              <w:rPr>
                <w:rFonts w:hint="eastAsia"/>
                <w:color w:val="auto"/>
                <w:kern w:val="2"/>
                <w:sz w:val="24"/>
                <w:szCs w:val="24"/>
              </w:rPr>
              <w:t>从开采及回注层位看，运行期正常生产状态下，通过水泥返至地面固井工艺使含油地层与地下水含水层分隔，井下作业废水、采出废水等均收集送往污水处理系统处理达标后回注油层。</w:t>
            </w:r>
          </w:p>
          <w:p>
            <w:pPr>
              <w:pStyle w:val="9"/>
              <w:spacing w:before="0" w:after="0" w:line="360" w:lineRule="auto"/>
              <w:ind w:firstLine="480" w:firstLineChars="200"/>
              <w:rPr>
                <w:color w:val="auto"/>
                <w:sz w:val="24"/>
              </w:rPr>
            </w:pPr>
            <w:r>
              <w:rPr>
                <w:rFonts w:hint="eastAsia"/>
                <w:color w:val="auto"/>
                <w:sz w:val="24"/>
              </w:rPr>
              <w:t>注水站</w:t>
            </w:r>
            <w:r>
              <w:rPr>
                <w:rFonts w:hint="eastAsia"/>
                <w:color w:val="auto"/>
                <w:sz w:val="24"/>
                <w:lang w:val="en-US" w:eastAsia="zh-CN"/>
              </w:rPr>
              <w:t>流程如下：</w:t>
            </w:r>
            <w:r>
              <w:rPr>
                <w:rFonts w:hint="eastAsia"/>
                <w:color w:val="auto"/>
                <w:sz w:val="24"/>
              </w:rPr>
              <w:t>来水通过管道输送至站内原水箱，水箱设有闸阀，再进入清水注水撬进行粗滤和精细过滤，去除原水中杂质，再经阀组将处理后清水分配至站外各注水井，注入地层。</w:t>
            </w:r>
          </w:p>
          <w:p>
            <w:pPr>
              <w:pStyle w:val="9"/>
              <w:spacing w:before="0" w:after="0" w:line="360" w:lineRule="auto"/>
              <w:ind w:firstLine="480" w:firstLineChars="200"/>
              <w:rPr>
                <w:color w:val="auto"/>
                <w:kern w:val="2"/>
                <w:sz w:val="24"/>
                <w:szCs w:val="24"/>
              </w:rPr>
            </w:pPr>
            <w:r>
              <w:rPr>
                <w:rFonts w:hint="eastAsia"/>
                <w:color w:val="auto"/>
                <w:sz w:val="24"/>
              </w:rPr>
              <w:t>本项目</w:t>
            </w:r>
            <w:r>
              <w:rPr>
                <w:color w:val="auto"/>
                <w:sz w:val="24"/>
              </w:rPr>
              <w:t>2511</w:t>
            </w:r>
            <w:r>
              <w:rPr>
                <w:rFonts w:hint="eastAsia"/>
                <w:color w:val="auto"/>
                <w:sz w:val="24"/>
              </w:rPr>
              <w:t>采出水处理站、</w:t>
            </w:r>
            <w:r>
              <w:rPr>
                <w:color w:val="auto"/>
                <w:sz w:val="24"/>
              </w:rPr>
              <w:t>3270</w:t>
            </w:r>
            <w:r>
              <w:rPr>
                <w:rFonts w:hint="eastAsia"/>
                <w:color w:val="auto"/>
                <w:sz w:val="24"/>
              </w:rPr>
              <w:t>采出水处理站、4926-4采出水处理站依托的注水站分别为东仁沟采油队韩渠油区、五兴庄采油队五兴庄油区、</w:t>
            </w:r>
            <w:r>
              <w:rPr>
                <w:rFonts w:hint="eastAsia"/>
                <w:color w:val="auto"/>
                <w:sz w:val="24"/>
                <w:lang w:eastAsia="zh-CN"/>
              </w:rPr>
              <w:t>白马崾岘</w:t>
            </w:r>
            <w:r>
              <w:rPr>
                <w:rFonts w:hint="eastAsia"/>
                <w:color w:val="auto"/>
                <w:sz w:val="24"/>
              </w:rPr>
              <w:t>采油队小涧湾油区内的注水井。</w:t>
            </w:r>
          </w:p>
          <w:p>
            <w:pPr>
              <w:pStyle w:val="9"/>
              <w:spacing w:before="0" w:after="0" w:line="360" w:lineRule="auto"/>
              <w:ind w:firstLine="480" w:firstLineChars="200"/>
              <w:rPr>
                <w:rFonts w:hint="default"/>
                <w:color w:val="auto"/>
                <w:kern w:val="2"/>
                <w:sz w:val="24"/>
                <w:szCs w:val="24"/>
                <w:lang w:val="en-US"/>
              </w:rPr>
            </w:pPr>
            <w:r>
              <w:rPr>
                <w:rFonts w:hint="eastAsia"/>
                <w:color w:val="auto"/>
                <w:kern w:val="2"/>
                <w:sz w:val="24"/>
                <w:szCs w:val="24"/>
              </w:rPr>
              <w:t>注水采油示意图见图</w:t>
            </w:r>
            <w:r>
              <w:rPr>
                <w:rFonts w:hint="eastAsia" w:ascii="Times New Roman" w:hAnsi="Times New Roman" w:eastAsia="宋体" w:cs="Times New Roman"/>
                <w:color w:val="auto"/>
                <w:kern w:val="2"/>
                <w:sz w:val="24"/>
                <w:szCs w:val="24"/>
              </w:rPr>
              <w:t>2-3，清水注水工艺流程见图2-4，污水注水工艺流程见图2-5。</w:t>
            </w:r>
            <w:r>
              <w:rPr>
                <w:rFonts w:hint="eastAsia" w:ascii="Times New Roman" w:hAnsi="Times New Roman" w:eastAsia="宋体" w:cs="Times New Roman"/>
                <w:color w:val="auto"/>
                <w:kern w:val="2"/>
                <w:sz w:val="24"/>
                <w:szCs w:val="24"/>
                <w:lang w:val="en-US" w:eastAsia="zh-CN"/>
              </w:rPr>
              <w:t>依托注水站见表2-16。</w:t>
            </w:r>
          </w:p>
          <w:p>
            <w:pPr>
              <w:adjustRightInd w:val="0"/>
              <w:snapToGrid w:val="0"/>
              <w:jc w:val="center"/>
              <w:rPr>
                <w:color w:val="auto"/>
              </w:rPr>
            </w:pPr>
            <w:r>
              <w:rPr>
                <w:color w:val="auto"/>
              </w:rPr>
              <w:object>
                <v:shape id="_x0000_i1027" o:spt="75" type="#_x0000_t75" style="height:221.25pt;width:331.5pt;" o:ole="t" filled="f" o:preferrelative="t" stroked="f" coordsize="21600,21600">
                  <v:path/>
                  <v:fill on="f" focussize="0,0"/>
                  <v:stroke on="f" joinstyle="miter"/>
                  <v:imagedata r:id="rId19" o:title=""/>
                  <o:lock v:ext="edit" aspectratio="f"/>
                  <w10:wrap type="none"/>
                  <w10:anchorlock/>
                </v:shape>
                <o:OLEObject Type="Embed" ProgID="Visio.Drawing.11" ShapeID="_x0000_i1027" DrawAspect="Content" ObjectID="_1468075727" r:id="rId18">
                  <o:LockedField>false</o:LockedField>
                </o:OLEObject>
              </w:object>
            </w:r>
          </w:p>
          <w:p>
            <w:pPr>
              <w:pStyle w:val="33"/>
              <w:ind w:left="0" w:leftChars="0" w:firstLine="0"/>
              <w:jc w:val="center"/>
              <w:rPr>
                <w:rFonts w:ascii="黑体" w:hAnsi="黑体" w:eastAsia="黑体" w:cs="黑体"/>
                <w:color w:val="auto"/>
                <w:sz w:val="21"/>
                <w:szCs w:val="21"/>
              </w:rPr>
            </w:pPr>
            <w:r>
              <w:rPr>
                <w:rFonts w:hint="eastAsia" w:ascii="黑体" w:hAnsi="黑体" w:eastAsia="黑体" w:cs="黑体"/>
                <w:color w:val="auto"/>
                <w:sz w:val="21"/>
                <w:szCs w:val="21"/>
              </w:rPr>
              <w:t>图2-3  注水采油示意图</w:t>
            </w:r>
          </w:p>
          <w:p>
            <w:pPr>
              <w:autoSpaceDE w:val="0"/>
              <w:autoSpaceDN w:val="0"/>
              <w:adjustRightInd w:val="0"/>
              <w:spacing w:line="360" w:lineRule="auto"/>
              <w:jc w:val="center"/>
              <w:rPr>
                <w:color w:val="auto"/>
              </w:rPr>
            </w:pPr>
            <w:r>
              <w:rPr>
                <w:color w:val="auto"/>
              </w:rPr>
              <w:drawing>
                <wp:inline distT="0" distB="0" distL="114300" distR="114300">
                  <wp:extent cx="5055235" cy="1521460"/>
                  <wp:effectExtent l="0" t="0" r="12065" b="2540"/>
                  <wp:docPr id="1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pic:cNvPicPr>
                            <a:picLocks noChangeAspect="1"/>
                          </pic:cNvPicPr>
                        </pic:nvPicPr>
                        <pic:blipFill>
                          <a:blip r:embed="rId20" cstate="print"/>
                          <a:srcRect l="418" r="2058"/>
                          <a:stretch>
                            <a:fillRect/>
                          </a:stretch>
                        </pic:blipFill>
                        <pic:spPr>
                          <a:xfrm>
                            <a:off x="0" y="0"/>
                            <a:ext cx="5055235" cy="1521460"/>
                          </a:xfrm>
                          <a:prstGeom prst="rect">
                            <a:avLst/>
                          </a:prstGeom>
                          <a:noFill/>
                          <a:ln>
                            <a:noFill/>
                          </a:ln>
                        </pic:spPr>
                      </pic:pic>
                    </a:graphicData>
                  </a:graphic>
                </wp:inline>
              </w:drawing>
            </w:r>
          </w:p>
          <w:p>
            <w:pPr>
              <w:jc w:val="center"/>
              <w:rPr>
                <w:rFonts w:eastAsia="黑体"/>
                <w:color w:val="auto"/>
                <w:szCs w:val="21"/>
              </w:rPr>
            </w:pPr>
            <w:r>
              <w:rPr>
                <w:rFonts w:eastAsia="黑体"/>
                <w:color w:val="auto"/>
                <w:szCs w:val="21"/>
              </w:rPr>
              <w:t>图</w:t>
            </w:r>
            <w:r>
              <w:rPr>
                <w:rFonts w:hint="eastAsia" w:eastAsia="黑体"/>
                <w:color w:val="auto"/>
                <w:szCs w:val="21"/>
              </w:rPr>
              <w:t xml:space="preserve">2-5  </w:t>
            </w:r>
            <w:r>
              <w:rPr>
                <w:rFonts w:eastAsia="黑体"/>
                <w:color w:val="auto"/>
                <w:szCs w:val="21"/>
              </w:rPr>
              <w:t>污水注水工艺流程示意图</w:t>
            </w:r>
          </w:p>
          <w:p>
            <w:pPr>
              <w:jc w:val="center"/>
              <w:rPr>
                <w:rFonts w:eastAsia="黑体"/>
                <w:bCs/>
                <w:color w:val="auto"/>
                <w:szCs w:val="21"/>
              </w:rPr>
            </w:pPr>
            <w:r>
              <w:rPr>
                <w:rFonts w:hint="eastAsia" w:eastAsia="黑体"/>
                <w:bCs/>
                <w:color w:val="auto"/>
                <w:szCs w:val="21"/>
              </w:rPr>
              <w:t>表2-</w:t>
            </w:r>
            <w:r>
              <w:rPr>
                <w:rFonts w:hint="eastAsia" w:eastAsia="黑体"/>
                <w:bCs/>
                <w:color w:val="auto"/>
                <w:szCs w:val="21"/>
                <w:lang w:val="en-US" w:eastAsia="zh-CN"/>
              </w:rPr>
              <w:t>16</w:t>
            </w:r>
            <w:r>
              <w:rPr>
                <w:rFonts w:hint="eastAsia" w:eastAsia="黑体"/>
                <w:bCs/>
                <w:color w:val="auto"/>
                <w:szCs w:val="21"/>
              </w:rPr>
              <w:t xml:space="preserve"> </w:t>
            </w:r>
            <w:r>
              <w:rPr>
                <w:rFonts w:hint="eastAsia" w:eastAsia="黑体"/>
                <w:bCs/>
                <w:color w:val="auto"/>
                <w:szCs w:val="21"/>
                <w:lang w:val="en-US" w:eastAsia="zh-CN"/>
              </w:rPr>
              <w:t>依托注水站</w:t>
            </w:r>
            <w:r>
              <w:rPr>
                <w:rFonts w:hint="eastAsia" w:eastAsia="黑体"/>
                <w:bCs/>
                <w:color w:val="auto"/>
                <w:szCs w:val="21"/>
              </w:rPr>
              <w:t>一览表</w:t>
            </w:r>
          </w:p>
          <w:tbl>
            <w:tblPr>
              <w:tblStyle w:val="35"/>
              <w:tblW w:w="8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5913"/>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Align w:val="center"/>
                </w:tcPr>
                <w:p>
                  <w:pPr>
                    <w:widowControl/>
                    <w:adjustRightInd w:val="0"/>
                    <w:snapToGrid w:val="0"/>
                    <w:jc w:val="center"/>
                    <w:textAlignment w:val="center"/>
                    <w:rPr>
                      <w:rStyle w:val="96"/>
                      <w:rFonts w:eastAsia="Tahoma"/>
                      <w:color w:val="auto"/>
                      <w:sz w:val="21"/>
                      <w:szCs w:val="21"/>
                    </w:rPr>
                  </w:pPr>
                  <w:r>
                    <w:rPr>
                      <w:rStyle w:val="96"/>
                      <w:rFonts w:hint="eastAsia" w:eastAsia="Tahoma"/>
                      <w:color w:val="auto"/>
                      <w:sz w:val="21"/>
                      <w:szCs w:val="21"/>
                    </w:rPr>
                    <w:t>区块</w:t>
                  </w:r>
                </w:p>
              </w:tc>
              <w:tc>
                <w:tcPr>
                  <w:tcW w:w="5913" w:type="dxa"/>
                  <w:vAlign w:val="center"/>
                </w:tcPr>
                <w:p>
                  <w:pPr>
                    <w:widowControl/>
                    <w:adjustRightInd w:val="0"/>
                    <w:snapToGrid w:val="0"/>
                    <w:jc w:val="center"/>
                    <w:textAlignment w:val="center"/>
                    <w:rPr>
                      <w:rStyle w:val="96"/>
                      <w:rFonts w:eastAsia="Tahoma"/>
                      <w:color w:val="auto"/>
                      <w:sz w:val="21"/>
                      <w:szCs w:val="21"/>
                    </w:rPr>
                  </w:pPr>
                  <w:r>
                    <w:rPr>
                      <w:rStyle w:val="96"/>
                      <w:rFonts w:hint="eastAsia" w:eastAsia="Tahoma"/>
                      <w:color w:val="auto"/>
                      <w:sz w:val="21"/>
                      <w:szCs w:val="21"/>
                    </w:rPr>
                    <w:t>注水站场</w:t>
                  </w:r>
                </w:p>
              </w:tc>
              <w:tc>
                <w:tcPr>
                  <w:tcW w:w="1122" w:type="dxa"/>
                  <w:vAlign w:val="center"/>
                </w:tcPr>
                <w:p>
                  <w:pPr>
                    <w:widowControl/>
                    <w:adjustRightInd w:val="0"/>
                    <w:snapToGrid w:val="0"/>
                    <w:jc w:val="center"/>
                    <w:textAlignment w:val="center"/>
                    <w:rPr>
                      <w:rStyle w:val="96"/>
                      <w:rFonts w:eastAsia="Tahoma"/>
                      <w:color w:val="auto"/>
                      <w:sz w:val="21"/>
                      <w:szCs w:val="21"/>
                    </w:rPr>
                  </w:pPr>
                  <w:r>
                    <w:rPr>
                      <w:rStyle w:val="96"/>
                      <w:rFonts w:hint="eastAsia" w:eastAsia="Tahoma"/>
                      <w:color w:val="auto"/>
                      <w:sz w:val="21"/>
                      <w:szCs w:val="21"/>
                    </w:rPr>
                    <w:t>回注层位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Align w:val="center"/>
                </w:tcPr>
                <w:p>
                  <w:pPr>
                    <w:widowControl/>
                    <w:adjustRightInd w:val="0"/>
                    <w:snapToGrid w:val="0"/>
                    <w:jc w:val="center"/>
                    <w:textAlignment w:val="center"/>
                    <w:rPr>
                      <w:rStyle w:val="96"/>
                      <w:rFonts w:eastAsia="Tahoma"/>
                      <w:color w:val="auto"/>
                      <w:sz w:val="21"/>
                      <w:szCs w:val="21"/>
                    </w:rPr>
                  </w:pPr>
                  <w:r>
                    <w:rPr>
                      <w:rStyle w:val="96"/>
                      <w:rFonts w:hint="eastAsia" w:eastAsia="Tahoma"/>
                      <w:color w:val="auto"/>
                      <w:sz w:val="21"/>
                      <w:szCs w:val="21"/>
                    </w:rPr>
                    <w:t>东仁沟采油队韩渠油区</w:t>
                  </w:r>
                </w:p>
              </w:tc>
              <w:tc>
                <w:tcPr>
                  <w:tcW w:w="5913" w:type="dxa"/>
                  <w:vAlign w:val="center"/>
                </w:tcPr>
                <w:p>
                  <w:pPr>
                    <w:widowControl/>
                    <w:adjustRightInd w:val="0"/>
                    <w:snapToGrid w:val="0"/>
                    <w:jc w:val="center"/>
                    <w:textAlignment w:val="center"/>
                    <w:rPr>
                      <w:rStyle w:val="96"/>
                      <w:rFonts w:eastAsia="Tahoma"/>
                      <w:color w:val="auto"/>
                      <w:sz w:val="21"/>
                      <w:szCs w:val="21"/>
                    </w:rPr>
                  </w:pPr>
                  <w:r>
                    <w:rPr>
                      <w:rFonts w:hint="eastAsia" w:ascii="宋体" w:hAnsi="宋体" w:cs="宋体"/>
                      <w:color w:val="auto"/>
                      <w:kern w:val="0"/>
                      <w:szCs w:val="21"/>
                    </w:rPr>
                    <w:t>王圈、张天渠、尹渠、达咀二号、定</w:t>
                  </w:r>
                  <w:r>
                    <w:rPr>
                      <w:rStyle w:val="96"/>
                      <w:rFonts w:eastAsia="Tahoma"/>
                      <w:color w:val="auto"/>
                      <w:sz w:val="21"/>
                      <w:szCs w:val="21"/>
                    </w:rPr>
                    <w:t>1387</w:t>
                  </w:r>
                  <w:r>
                    <w:rPr>
                      <w:rFonts w:hint="eastAsia" w:ascii="宋体" w:hAnsi="宋体" w:cs="宋体"/>
                      <w:color w:val="auto"/>
                      <w:kern w:val="0"/>
                      <w:szCs w:val="21"/>
                    </w:rPr>
                    <w:t>、定</w:t>
                  </w:r>
                  <w:r>
                    <w:rPr>
                      <w:rStyle w:val="96"/>
                      <w:rFonts w:eastAsia="Tahoma"/>
                      <w:color w:val="auto"/>
                      <w:sz w:val="21"/>
                      <w:szCs w:val="21"/>
                    </w:rPr>
                    <w:t>2642</w:t>
                  </w:r>
                  <w:r>
                    <w:rPr>
                      <w:rFonts w:hint="eastAsia" w:ascii="宋体" w:hAnsi="宋体" w:cs="宋体"/>
                      <w:color w:val="auto"/>
                      <w:kern w:val="0"/>
                      <w:szCs w:val="21"/>
                    </w:rPr>
                    <w:t>、东平</w:t>
                  </w:r>
                  <w:r>
                    <w:rPr>
                      <w:rStyle w:val="96"/>
                      <w:rFonts w:eastAsia="Tahoma"/>
                      <w:color w:val="auto"/>
                      <w:sz w:val="21"/>
                      <w:szCs w:val="21"/>
                    </w:rPr>
                    <w:t>20</w:t>
                  </w:r>
                  <w:r>
                    <w:rPr>
                      <w:rFonts w:hint="eastAsia" w:ascii="宋体" w:hAnsi="宋体" w:cs="宋体"/>
                      <w:color w:val="auto"/>
                      <w:kern w:val="0"/>
                      <w:szCs w:val="21"/>
                    </w:rPr>
                    <w:t>、定</w:t>
                  </w:r>
                  <w:r>
                    <w:rPr>
                      <w:rStyle w:val="96"/>
                      <w:rFonts w:eastAsia="Tahoma"/>
                      <w:color w:val="auto"/>
                      <w:sz w:val="21"/>
                      <w:szCs w:val="21"/>
                    </w:rPr>
                    <w:t>1827</w:t>
                  </w:r>
                  <w:r>
                    <w:rPr>
                      <w:rFonts w:hint="eastAsia" w:ascii="宋体" w:hAnsi="宋体" w:cs="宋体"/>
                      <w:color w:val="auto"/>
                      <w:kern w:val="0"/>
                      <w:szCs w:val="21"/>
                    </w:rPr>
                    <w:t>、高圈、定</w:t>
                  </w:r>
                  <w:r>
                    <w:rPr>
                      <w:rStyle w:val="96"/>
                      <w:rFonts w:eastAsia="Tahoma"/>
                      <w:color w:val="auto"/>
                      <w:sz w:val="21"/>
                      <w:szCs w:val="21"/>
                    </w:rPr>
                    <w:t>1716</w:t>
                  </w:r>
                  <w:r>
                    <w:rPr>
                      <w:rFonts w:hint="eastAsia" w:ascii="宋体" w:hAnsi="宋体" w:cs="宋体"/>
                      <w:color w:val="auto"/>
                      <w:kern w:val="0"/>
                      <w:szCs w:val="21"/>
                    </w:rPr>
                    <w:t>、定</w:t>
                  </w:r>
                  <w:r>
                    <w:rPr>
                      <w:rStyle w:val="96"/>
                      <w:rFonts w:eastAsia="Tahoma"/>
                      <w:color w:val="auto"/>
                      <w:sz w:val="21"/>
                      <w:szCs w:val="21"/>
                    </w:rPr>
                    <w:t>1766</w:t>
                  </w:r>
                  <w:r>
                    <w:rPr>
                      <w:rFonts w:hint="eastAsia" w:ascii="宋体" w:hAnsi="宋体" w:cs="宋体"/>
                      <w:color w:val="auto"/>
                      <w:kern w:val="0"/>
                      <w:szCs w:val="21"/>
                    </w:rPr>
                    <w:t>、定</w:t>
                  </w:r>
                  <w:r>
                    <w:rPr>
                      <w:rStyle w:val="96"/>
                      <w:rFonts w:eastAsia="Tahoma"/>
                      <w:color w:val="auto"/>
                      <w:sz w:val="21"/>
                      <w:szCs w:val="21"/>
                    </w:rPr>
                    <w:t>1988B</w:t>
                  </w:r>
                  <w:r>
                    <w:rPr>
                      <w:rFonts w:hint="eastAsia" w:ascii="宋体" w:hAnsi="宋体" w:cs="宋体"/>
                      <w:color w:val="auto"/>
                      <w:kern w:val="0"/>
                      <w:szCs w:val="21"/>
                    </w:rPr>
                    <w:t>、定</w:t>
                  </w:r>
                  <w:r>
                    <w:rPr>
                      <w:rStyle w:val="96"/>
                      <w:rFonts w:eastAsia="Tahoma"/>
                      <w:color w:val="auto"/>
                      <w:sz w:val="21"/>
                      <w:szCs w:val="21"/>
                    </w:rPr>
                    <w:t>1876</w:t>
                  </w:r>
                  <w:r>
                    <w:rPr>
                      <w:rFonts w:hint="eastAsia" w:ascii="宋体" w:hAnsi="宋体" w:cs="宋体"/>
                      <w:color w:val="auto"/>
                      <w:kern w:val="0"/>
                      <w:szCs w:val="21"/>
                    </w:rPr>
                    <w:t>、定</w:t>
                  </w:r>
                  <w:r>
                    <w:rPr>
                      <w:rStyle w:val="96"/>
                      <w:rFonts w:eastAsia="Tahoma"/>
                      <w:color w:val="auto"/>
                      <w:sz w:val="21"/>
                      <w:szCs w:val="21"/>
                    </w:rPr>
                    <w:t>1790</w:t>
                  </w:r>
                  <w:r>
                    <w:rPr>
                      <w:rFonts w:hint="eastAsia" w:ascii="宋体" w:hAnsi="宋体" w:cs="宋体"/>
                      <w:color w:val="auto"/>
                      <w:kern w:val="0"/>
                      <w:szCs w:val="21"/>
                    </w:rPr>
                    <w:t>、定</w:t>
                  </w:r>
                  <w:r>
                    <w:rPr>
                      <w:rStyle w:val="96"/>
                      <w:rFonts w:eastAsia="Tahoma"/>
                      <w:color w:val="auto"/>
                      <w:sz w:val="21"/>
                      <w:szCs w:val="21"/>
                    </w:rPr>
                    <w:t>2172</w:t>
                  </w:r>
                  <w:r>
                    <w:rPr>
                      <w:rFonts w:hint="eastAsia" w:ascii="宋体" w:hAnsi="宋体" w:cs="宋体"/>
                      <w:color w:val="auto"/>
                      <w:kern w:val="0"/>
                      <w:szCs w:val="21"/>
                    </w:rPr>
                    <w:t>、定</w:t>
                  </w:r>
                  <w:r>
                    <w:rPr>
                      <w:rStyle w:val="96"/>
                      <w:rFonts w:eastAsia="Tahoma"/>
                      <w:color w:val="auto"/>
                      <w:sz w:val="21"/>
                      <w:szCs w:val="21"/>
                    </w:rPr>
                    <w:t>40054</w:t>
                  </w:r>
                  <w:r>
                    <w:rPr>
                      <w:rFonts w:hint="eastAsia" w:ascii="宋体" w:hAnsi="宋体" w:cs="宋体"/>
                      <w:color w:val="auto"/>
                      <w:kern w:val="0"/>
                      <w:szCs w:val="21"/>
                    </w:rPr>
                    <w:t>、定</w:t>
                  </w:r>
                  <w:r>
                    <w:rPr>
                      <w:rStyle w:val="96"/>
                      <w:rFonts w:eastAsia="Tahoma"/>
                      <w:color w:val="auto"/>
                      <w:sz w:val="21"/>
                      <w:szCs w:val="21"/>
                    </w:rPr>
                    <w:t>40094</w:t>
                  </w:r>
                  <w:r>
                    <w:rPr>
                      <w:rFonts w:hint="eastAsia" w:ascii="宋体" w:hAnsi="宋体" w:cs="宋体"/>
                      <w:color w:val="auto"/>
                      <w:kern w:val="0"/>
                      <w:szCs w:val="21"/>
                    </w:rPr>
                    <w:t>、定</w:t>
                  </w:r>
                  <w:r>
                    <w:rPr>
                      <w:rStyle w:val="96"/>
                      <w:rFonts w:eastAsia="Tahoma"/>
                      <w:color w:val="auto"/>
                      <w:sz w:val="21"/>
                      <w:szCs w:val="21"/>
                    </w:rPr>
                    <w:t>40120</w:t>
                  </w:r>
                  <w:r>
                    <w:rPr>
                      <w:rFonts w:hint="eastAsia" w:ascii="宋体" w:hAnsi="宋体" w:cs="宋体"/>
                      <w:color w:val="auto"/>
                      <w:kern w:val="0"/>
                      <w:szCs w:val="21"/>
                    </w:rPr>
                    <w:t>、定</w:t>
                  </w:r>
                  <w:r>
                    <w:rPr>
                      <w:rStyle w:val="96"/>
                      <w:rFonts w:eastAsia="Tahoma"/>
                      <w:color w:val="auto"/>
                      <w:sz w:val="21"/>
                      <w:szCs w:val="21"/>
                    </w:rPr>
                    <w:t>40204</w:t>
                  </w:r>
                  <w:r>
                    <w:rPr>
                      <w:rFonts w:hint="eastAsia" w:ascii="宋体" w:hAnsi="宋体" w:cs="宋体"/>
                      <w:color w:val="auto"/>
                      <w:kern w:val="0"/>
                      <w:szCs w:val="21"/>
                    </w:rPr>
                    <w:t>、定</w:t>
                  </w:r>
                  <w:r>
                    <w:rPr>
                      <w:rStyle w:val="96"/>
                      <w:rFonts w:eastAsia="Tahoma"/>
                      <w:color w:val="auto"/>
                      <w:sz w:val="21"/>
                      <w:szCs w:val="21"/>
                    </w:rPr>
                    <w:t>40143</w:t>
                  </w:r>
                  <w:r>
                    <w:rPr>
                      <w:rFonts w:hint="eastAsia" w:ascii="宋体" w:hAnsi="宋体" w:cs="宋体"/>
                      <w:color w:val="auto"/>
                      <w:kern w:val="0"/>
                      <w:szCs w:val="21"/>
                    </w:rPr>
                    <w:t>、定</w:t>
                  </w:r>
                  <w:r>
                    <w:rPr>
                      <w:rStyle w:val="96"/>
                      <w:rFonts w:eastAsia="Tahoma"/>
                      <w:color w:val="auto"/>
                      <w:sz w:val="21"/>
                      <w:szCs w:val="21"/>
                    </w:rPr>
                    <w:t>40234</w:t>
                  </w:r>
                  <w:r>
                    <w:rPr>
                      <w:rFonts w:hint="eastAsia" w:ascii="宋体" w:hAnsi="宋体" w:cs="宋体"/>
                      <w:color w:val="auto"/>
                      <w:kern w:val="0"/>
                      <w:szCs w:val="21"/>
                    </w:rPr>
                    <w:t>、定</w:t>
                  </w:r>
                  <w:r>
                    <w:rPr>
                      <w:rStyle w:val="96"/>
                      <w:rFonts w:eastAsia="Tahoma"/>
                      <w:color w:val="auto"/>
                      <w:sz w:val="21"/>
                      <w:szCs w:val="21"/>
                    </w:rPr>
                    <w:t>40286</w:t>
                  </w:r>
                  <w:r>
                    <w:rPr>
                      <w:rFonts w:hint="eastAsia" w:ascii="宋体" w:hAnsi="宋体" w:cs="宋体"/>
                      <w:color w:val="auto"/>
                      <w:kern w:val="0"/>
                      <w:szCs w:val="21"/>
                    </w:rPr>
                    <w:t>、定罗平</w:t>
                  </w:r>
                  <w:r>
                    <w:rPr>
                      <w:rStyle w:val="96"/>
                      <w:rFonts w:eastAsia="Tahoma"/>
                      <w:color w:val="auto"/>
                      <w:sz w:val="21"/>
                      <w:szCs w:val="21"/>
                    </w:rPr>
                    <w:t>1</w:t>
                  </w:r>
                  <w:r>
                    <w:rPr>
                      <w:rFonts w:hint="eastAsia" w:ascii="宋体" w:hAnsi="宋体" w:cs="宋体"/>
                      <w:color w:val="auto"/>
                      <w:kern w:val="0"/>
                      <w:szCs w:val="21"/>
                    </w:rPr>
                    <w:t>、定</w:t>
                  </w:r>
                  <w:r>
                    <w:rPr>
                      <w:rStyle w:val="96"/>
                      <w:rFonts w:eastAsia="Tahoma"/>
                      <w:color w:val="auto"/>
                      <w:sz w:val="21"/>
                      <w:szCs w:val="21"/>
                    </w:rPr>
                    <w:t>1657</w:t>
                  </w:r>
                  <w:r>
                    <w:rPr>
                      <w:rFonts w:hint="eastAsia" w:ascii="宋体" w:hAnsi="宋体" w:cs="宋体"/>
                      <w:color w:val="auto"/>
                      <w:kern w:val="0"/>
                      <w:szCs w:val="21"/>
                    </w:rPr>
                    <w:t>、定</w:t>
                  </w:r>
                  <w:r>
                    <w:rPr>
                      <w:rStyle w:val="96"/>
                      <w:rFonts w:eastAsia="Tahoma"/>
                      <w:color w:val="auto"/>
                      <w:sz w:val="21"/>
                      <w:szCs w:val="21"/>
                    </w:rPr>
                    <w:t>1752B</w:t>
                  </w:r>
                  <w:r>
                    <w:rPr>
                      <w:rFonts w:hint="eastAsia" w:ascii="宋体" w:hAnsi="宋体" w:cs="宋体"/>
                      <w:color w:val="auto"/>
                      <w:kern w:val="0"/>
                      <w:szCs w:val="21"/>
                    </w:rPr>
                    <w:t>注水站</w:t>
                  </w:r>
                </w:p>
              </w:tc>
              <w:tc>
                <w:tcPr>
                  <w:tcW w:w="1122" w:type="dxa"/>
                  <w:vAlign w:val="center"/>
                </w:tcPr>
                <w:p>
                  <w:pPr>
                    <w:widowControl/>
                    <w:adjustRightInd w:val="0"/>
                    <w:snapToGrid w:val="0"/>
                    <w:jc w:val="center"/>
                    <w:textAlignment w:val="center"/>
                    <w:rPr>
                      <w:rStyle w:val="96"/>
                      <w:rFonts w:eastAsia="Tahoma"/>
                      <w:color w:val="auto"/>
                      <w:sz w:val="21"/>
                      <w:szCs w:val="21"/>
                    </w:rPr>
                  </w:pPr>
                  <w:r>
                    <w:rPr>
                      <w:rStyle w:val="96"/>
                      <w:rFonts w:hint="eastAsia" w:eastAsia="Tahoma"/>
                      <w:color w:val="auto"/>
                      <w:sz w:val="21"/>
                      <w:szCs w:val="21"/>
                    </w:rPr>
                    <w:t>延10和长2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Align w:val="center"/>
                </w:tcPr>
                <w:p>
                  <w:pPr>
                    <w:widowControl/>
                    <w:adjustRightInd w:val="0"/>
                    <w:snapToGrid w:val="0"/>
                    <w:jc w:val="center"/>
                    <w:textAlignment w:val="center"/>
                    <w:rPr>
                      <w:rStyle w:val="96"/>
                      <w:rFonts w:eastAsia="Tahoma"/>
                      <w:color w:val="auto"/>
                      <w:sz w:val="21"/>
                      <w:szCs w:val="21"/>
                    </w:rPr>
                  </w:pPr>
                  <w:r>
                    <w:rPr>
                      <w:rFonts w:hint="eastAsia"/>
                      <w:color w:val="auto"/>
                      <w:kern w:val="0"/>
                      <w:szCs w:val="21"/>
                    </w:rPr>
                    <w:t>白马崾岘采油队小涧湾油区</w:t>
                  </w:r>
                </w:p>
              </w:tc>
              <w:tc>
                <w:tcPr>
                  <w:tcW w:w="5913" w:type="dxa"/>
                  <w:vAlign w:val="center"/>
                </w:tcPr>
                <w:p>
                  <w:pPr>
                    <w:widowControl/>
                    <w:adjustRightInd w:val="0"/>
                    <w:snapToGrid w:val="0"/>
                    <w:jc w:val="center"/>
                    <w:textAlignment w:val="center"/>
                    <w:rPr>
                      <w:rStyle w:val="96"/>
                      <w:rFonts w:eastAsia="Tahoma"/>
                      <w:color w:val="auto"/>
                      <w:sz w:val="21"/>
                      <w:szCs w:val="21"/>
                    </w:rPr>
                  </w:pPr>
                  <w:r>
                    <w:rPr>
                      <w:rFonts w:hint="eastAsia" w:ascii="宋体" w:hAnsi="宋体" w:cs="宋体"/>
                      <w:color w:val="auto"/>
                      <w:kern w:val="0"/>
                      <w:szCs w:val="21"/>
                    </w:rPr>
                    <w:t>定</w:t>
                  </w:r>
                  <w:r>
                    <w:rPr>
                      <w:rStyle w:val="96"/>
                      <w:rFonts w:eastAsia="Tahoma"/>
                      <w:color w:val="auto"/>
                      <w:sz w:val="21"/>
                      <w:szCs w:val="21"/>
                    </w:rPr>
                    <w:t>4766-4</w:t>
                  </w:r>
                  <w:r>
                    <w:rPr>
                      <w:rFonts w:hint="eastAsia" w:ascii="宋体" w:hAnsi="宋体" w:cs="宋体"/>
                      <w:color w:val="auto"/>
                      <w:kern w:val="0"/>
                      <w:szCs w:val="21"/>
                    </w:rPr>
                    <w:t>、定</w:t>
                  </w:r>
                  <w:r>
                    <w:rPr>
                      <w:rStyle w:val="96"/>
                      <w:rFonts w:eastAsia="Tahoma"/>
                      <w:color w:val="auto"/>
                      <w:sz w:val="21"/>
                      <w:szCs w:val="21"/>
                    </w:rPr>
                    <w:t>4891</w:t>
                  </w:r>
                  <w:r>
                    <w:rPr>
                      <w:rFonts w:hint="eastAsia" w:ascii="宋体" w:hAnsi="宋体" w:cs="宋体"/>
                      <w:color w:val="auto"/>
                      <w:kern w:val="0"/>
                      <w:szCs w:val="21"/>
                    </w:rPr>
                    <w:t>、定</w:t>
                  </w:r>
                  <w:r>
                    <w:rPr>
                      <w:rStyle w:val="96"/>
                      <w:rFonts w:eastAsia="Tahoma"/>
                      <w:color w:val="auto"/>
                      <w:sz w:val="21"/>
                      <w:szCs w:val="21"/>
                    </w:rPr>
                    <w:t>4942</w:t>
                  </w:r>
                  <w:r>
                    <w:rPr>
                      <w:rFonts w:hint="eastAsia" w:ascii="宋体" w:hAnsi="宋体" w:cs="宋体"/>
                      <w:color w:val="auto"/>
                      <w:kern w:val="0"/>
                      <w:szCs w:val="21"/>
                    </w:rPr>
                    <w:t>、定</w:t>
                  </w:r>
                  <w:r>
                    <w:rPr>
                      <w:rStyle w:val="96"/>
                      <w:rFonts w:eastAsia="Tahoma"/>
                      <w:color w:val="auto"/>
                      <w:sz w:val="21"/>
                      <w:szCs w:val="21"/>
                    </w:rPr>
                    <w:t>4796</w:t>
                  </w:r>
                  <w:r>
                    <w:rPr>
                      <w:rFonts w:hint="eastAsia" w:ascii="宋体" w:hAnsi="宋体" w:cs="宋体"/>
                      <w:color w:val="auto"/>
                      <w:kern w:val="0"/>
                      <w:szCs w:val="21"/>
                    </w:rPr>
                    <w:t>、定</w:t>
                  </w:r>
                  <w:r>
                    <w:rPr>
                      <w:rStyle w:val="96"/>
                      <w:rFonts w:eastAsia="Tahoma"/>
                      <w:color w:val="auto"/>
                      <w:sz w:val="21"/>
                      <w:szCs w:val="21"/>
                    </w:rPr>
                    <w:t>4913</w:t>
                  </w:r>
                  <w:r>
                    <w:rPr>
                      <w:rFonts w:hint="eastAsia" w:ascii="宋体" w:hAnsi="宋体" w:cs="宋体"/>
                      <w:color w:val="auto"/>
                      <w:kern w:val="0"/>
                      <w:szCs w:val="21"/>
                    </w:rPr>
                    <w:t>、定</w:t>
                  </w:r>
                  <w:r>
                    <w:rPr>
                      <w:rStyle w:val="96"/>
                      <w:rFonts w:eastAsia="Tahoma"/>
                      <w:color w:val="auto"/>
                      <w:sz w:val="21"/>
                      <w:szCs w:val="21"/>
                    </w:rPr>
                    <w:t>4910</w:t>
                  </w:r>
                  <w:r>
                    <w:rPr>
                      <w:rFonts w:hint="eastAsia" w:ascii="宋体" w:hAnsi="宋体" w:cs="宋体"/>
                      <w:color w:val="auto"/>
                      <w:kern w:val="0"/>
                      <w:szCs w:val="21"/>
                    </w:rPr>
                    <w:t>、定</w:t>
                  </w:r>
                  <w:r>
                    <w:rPr>
                      <w:rStyle w:val="96"/>
                      <w:rFonts w:eastAsia="Tahoma"/>
                      <w:color w:val="auto"/>
                      <w:sz w:val="21"/>
                      <w:szCs w:val="21"/>
                    </w:rPr>
                    <w:t>4151</w:t>
                  </w:r>
                  <w:r>
                    <w:rPr>
                      <w:rFonts w:hint="eastAsia" w:ascii="宋体" w:hAnsi="宋体" w:cs="宋体"/>
                      <w:color w:val="auto"/>
                      <w:kern w:val="0"/>
                      <w:szCs w:val="21"/>
                    </w:rPr>
                    <w:t>、定</w:t>
                  </w:r>
                  <w:r>
                    <w:rPr>
                      <w:rStyle w:val="96"/>
                      <w:rFonts w:eastAsia="Tahoma"/>
                      <w:color w:val="auto"/>
                      <w:sz w:val="21"/>
                      <w:szCs w:val="21"/>
                    </w:rPr>
                    <w:t>4227</w:t>
                  </w:r>
                  <w:r>
                    <w:rPr>
                      <w:rFonts w:hint="eastAsia" w:ascii="宋体" w:hAnsi="宋体" w:cs="宋体"/>
                      <w:color w:val="auto"/>
                      <w:kern w:val="0"/>
                      <w:szCs w:val="21"/>
                    </w:rPr>
                    <w:t>、定</w:t>
                  </w:r>
                  <w:r>
                    <w:rPr>
                      <w:rStyle w:val="96"/>
                      <w:rFonts w:eastAsia="Tahoma"/>
                      <w:color w:val="auto"/>
                      <w:sz w:val="21"/>
                      <w:szCs w:val="21"/>
                    </w:rPr>
                    <w:t>43011</w:t>
                  </w:r>
                  <w:r>
                    <w:rPr>
                      <w:rFonts w:hint="eastAsia" w:ascii="宋体" w:hAnsi="宋体" w:cs="宋体"/>
                      <w:color w:val="auto"/>
                      <w:kern w:val="0"/>
                      <w:szCs w:val="21"/>
                    </w:rPr>
                    <w:t>、定</w:t>
                  </w:r>
                  <w:r>
                    <w:rPr>
                      <w:rStyle w:val="96"/>
                      <w:rFonts w:eastAsia="Tahoma"/>
                      <w:color w:val="auto"/>
                      <w:sz w:val="21"/>
                      <w:szCs w:val="21"/>
                    </w:rPr>
                    <w:t>4673</w:t>
                  </w:r>
                  <w:r>
                    <w:rPr>
                      <w:rFonts w:hint="eastAsia" w:ascii="宋体" w:hAnsi="宋体" w:cs="宋体"/>
                      <w:color w:val="auto"/>
                      <w:kern w:val="0"/>
                      <w:szCs w:val="21"/>
                    </w:rPr>
                    <w:t>、定</w:t>
                  </w:r>
                  <w:r>
                    <w:rPr>
                      <w:rStyle w:val="96"/>
                      <w:rFonts w:eastAsia="Tahoma"/>
                      <w:color w:val="auto"/>
                      <w:sz w:val="21"/>
                      <w:szCs w:val="21"/>
                    </w:rPr>
                    <w:t>4738</w:t>
                  </w:r>
                  <w:r>
                    <w:rPr>
                      <w:rFonts w:hint="eastAsia" w:ascii="宋体" w:hAnsi="宋体" w:cs="宋体"/>
                      <w:color w:val="auto"/>
                      <w:kern w:val="0"/>
                      <w:szCs w:val="21"/>
                    </w:rPr>
                    <w:t>、羊羔山</w:t>
                  </w:r>
                  <w:r>
                    <w:rPr>
                      <w:rFonts w:hint="eastAsia"/>
                      <w:color w:val="auto"/>
                      <w:szCs w:val="21"/>
                    </w:rPr>
                    <w:t>、</w:t>
                  </w:r>
                  <w:r>
                    <w:rPr>
                      <w:rFonts w:hint="eastAsia" w:ascii="宋体" w:hAnsi="宋体" w:cs="宋体"/>
                      <w:color w:val="auto"/>
                      <w:kern w:val="0"/>
                      <w:szCs w:val="21"/>
                    </w:rPr>
                    <w:t>樊二联合站</w:t>
                  </w:r>
                  <w:r>
                    <w:rPr>
                      <w:rFonts w:hint="eastAsia"/>
                      <w:color w:val="auto"/>
                      <w:szCs w:val="21"/>
                    </w:rPr>
                    <w:t>、</w:t>
                  </w:r>
                  <w:r>
                    <w:rPr>
                      <w:rFonts w:hint="eastAsia" w:ascii="宋体" w:hAnsi="宋体" w:cs="宋体"/>
                      <w:color w:val="auto"/>
                      <w:kern w:val="0"/>
                      <w:szCs w:val="21"/>
                    </w:rPr>
                    <w:t>定</w:t>
                  </w:r>
                  <w:r>
                    <w:rPr>
                      <w:rStyle w:val="96"/>
                      <w:rFonts w:eastAsia="Tahoma"/>
                      <w:color w:val="auto"/>
                      <w:sz w:val="21"/>
                      <w:szCs w:val="21"/>
                    </w:rPr>
                    <w:t>44009</w:t>
                  </w:r>
                  <w:r>
                    <w:rPr>
                      <w:rFonts w:hint="eastAsia" w:ascii="宋体" w:hAnsi="宋体" w:cs="宋体"/>
                      <w:color w:val="auto"/>
                      <w:kern w:val="0"/>
                      <w:szCs w:val="21"/>
                    </w:rPr>
                    <w:t>、定</w:t>
                  </w:r>
                  <w:r>
                    <w:rPr>
                      <w:rStyle w:val="96"/>
                      <w:rFonts w:eastAsia="Tahoma"/>
                      <w:color w:val="auto"/>
                      <w:sz w:val="21"/>
                      <w:szCs w:val="21"/>
                    </w:rPr>
                    <w:t>4442</w:t>
                  </w:r>
                  <w:r>
                    <w:rPr>
                      <w:rFonts w:hint="eastAsia" w:ascii="宋体" w:hAnsi="宋体" w:cs="宋体"/>
                      <w:color w:val="auto"/>
                      <w:kern w:val="0"/>
                      <w:szCs w:val="21"/>
                    </w:rPr>
                    <w:t>、定</w:t>
                  </w:r>
                  <w:r>
                    <w:rPr>
                      <w:rStyle w:val="96"/>
                      <w:rFonts w:eastAsia="Tahoma"/>
                      <w:color w:val="auto"/>
                      <w:sz w:val="21"/>
                      <w:szCs w:val="21"/>
                    </w:rPr>
                    <w:t>4274</w:t>
                  </w:r>
                  <w:r>
                    <w:rPr>
                      <w:rFonts w:hint="eastAsia" w:ascii="宋体" w:hAnsi="宋体" w:cs="宋体"/>
                      <w:color w:val="auto"/>
                      <w:kern w:val="0"/>
                      <w:szCs w:val="21"/>
                    </w:rPr>
                    <w:t>、定</w:t>
                  </w:r>
                  <w:r>
                    <w:rPr>
                      <w:rStyle w:val="96"/>
                      <w:rFonts w:eastAsia="Tahoma"/>
                      <w:color w:val="auto"/>
                      <w:sz w:val="21"/>
                      <w:szCs w:val="21"/>
                    </w:rPr>
                    <w:t>4163</w:t>
                  </w:r>
                  <w:r>
                    <w:rPr>
                      <w:rFonts w:hint="eastAsia" w:ascii="宋体" w:hAnsi="宋体" w:cs="宋体"/>
                      <w:color w:val="auto"/>
                      <w:kern w:val="0"/>
                      <w:szCs w:val="21"/>
                    </w:rPr>
                    <w:t>、定</w:t>
                  </w:r>
                  <w:r>
                    <w:rPr>
                      <w:rStyle w:val="96"/>
                      <w:rFonts w:eastAsia="Tahoma"/>
                      <w:color w:val="auto"/>
                      <w:sz w:val="21"/>
                      <w:szCs w:val="21"/>
                    </w:rPr>
                    <w:t>4176</w:t>
                  </w:r>
                  <w:r>
                    <w:rPr>
                      <w:rFonts w:hint="eastAsia" w:ascii="宋体" w:hAnsi="宋体" w:cs="宋体"/>
                      <w:color w:val="auto"/>
                      <w:kern w:val="0"/>
                      <w:szCs w:val="21"/>
                    </w:rPr>
                    <w:t>、定</w:t>
                  </w:r>
                  <w:r>
                    <w:rPr>
                      <w:rStyle w:val="96"/>
                      <w:rFonts w:eastAsia="Tahoma"/>
                      <w:color w:val="auto"/>
                      <w:sz w:val="21"/>
                      <w:szCs w:val="21"/>
                    </w:rPr>
                    <w:t>4496</w:t>
                  </w:r>
                  <w:r>
                    <w:rPr>
                      <w:rFonts w:hint="eastAsia" w:ascii="宋体" w:hAnsi="宋体" w:cs="宋体"/>
                      <w:color w:val="auto"/>
                      <w:kern w:val="0"/>
                      <w:szCs w:val="21"/>
                    </w:rPr>
                    <w:t>、定</w:t>
                  </w:r>
                  <w:r>
                    <w:rPr>
                      <w:rStyle w:val="96"/>
                      <w:rFonts w:eastAsia="Tahoma"/>
                      <w:color w:val="auto"/>
                      <w:sz w:val="21"/>
                      <w:szCs w:val="21"/>
                    </w:rPr>
                    <w:t>4155</w:t>
                  </w:r>
                  <w:r>
                    <w:rPr>
                      <w:rFonts w:hint="eastAsia" w:ascii="宋体" w:hAnsi="宋体" w:cs="宋体"/>
                      <w:color w:val="auto"/>
                      <w:kern w:val="0"/>
                      <w:szCs w:val="21"/>
                    </w:rPr>
                    <w:t>、定</w:t>
                  </w:r>
                  <w:r>
                    <w:rPr>
                      <w:rStyle w:val="96"/>
                      <w:rFonts w:eastAsia="Tahoma"/>
                      <w:color w:val="auto"/>
                      <w:sz w:val="21"/>
                      <w:szCs w:val="21"/>
                    </w:rPr>
                    <w:t>43038</w:t>
                  </w:r>
                  <w:r>
                    <w:rPr>
                      <w:rFonts w:hint="eastAsia" w:ascii="宋体" w:hAnsi="宋体" w:cs="宋体"/>
                      <w:color w:val="auto"/>
                      <w:kern w:val="0"/>
                      <w:szCs w:val="21"/>
                    </w:rPr>
                    <w:t>、</w:t>
                  </w:r>
                  <w:r>
                    <w:rPr>
                      <w:rFonts w:hint="eastAsia"/>
                      <w:color w:val="auto"/>
                      <w:szCs w:val="21"/>
                    </w:rPr>
                    <w:t>、</w:t>
                  </w:r>
                  <w:r>
                    <w:rPr>
                      <w:rFonts w:hint="eastAsia" w:ascii="宋体" w:hAnsi="宋体" w:cs="宋体"/>
                      <w:color w:val="auto"/>
                      <w:kern w:val="0"/>
                      <w:szCs w:val="21"/>
                    </w:rPr>
                    <w:t>唐山脱水站</w:t>
                  </w:r>
                  <w:r>
                    <w:rPr>
                      <w:rFonts w:hint="eastAsia"/>
                      <w:color w:val="auto"/>
                      <w:szCs w:val="21"/>
                    </w:rPr>
                    <w:t>、</w:t>
                  </w:r>
                  <w:r>
                    <w:rPr>
                      <w:rFonts w:hint="eastAsia" w:ascii="宋体" w:hAnsi="宋体" w:cs="宋体"/>
                      <w:color w:val="auto"/>
                      <w:kern w:val="0"/>
                      <w:szCs w:val="21"/>
                    </w:rPr>
                    <w:t>定</w:t>
                  </w:r>
                  <w:r>
                    <w:rPr>
                      <w:rStyle w:val="96"/>
                      <w:rFonts w:eastAsia="Tahoma"/>
                      <w:color w:val="auto"/>
                      <w:sz w:val="21"/>
                      <w:szCs w:val="21"/>
                    </w:rPr>
                    <w:t>4571</w:t>
                  </w:r>
                  <w:r>
                    <w:rPr>
                      <w:rFonts w:hint="eastAsia" w:ascii="宋体" w:hAnsi="宋体" w:cs="宋体"/>
                      <w:color w:val="auto"/>
                      <w:kern w:val="0"/>
                      <w:szCs w:val="21"/>
                    </w:rPr>
                    <w:t>、定</w:t>
                  </w:r>
                  <w:r>
                    <w:rPr>
                      <w:rStyle w:val="96"/>
                      <w:rFonts w:eastAsia="Tahoma"/>
                      <w:color w:val="auto"/>
                      <w:sz w:val="21"/>
                      <w:szCs w:val="21"/>
                    </w:rPr>
                    <w:t>40033</w:t>
                  </w:r>
                  <w:r>
                    <w:rPr>
                      <w:rFonts w:hint="eastAsia" w:ascii="宋体" w:hAnsi="宋体" w:cs="宋体"/>
                      <w:color w:val="auto"/>
                      <w:kern w:val="0"/>
                      <w:szCs w:val="21"/>
                    </w:rPr>
                    <w:t>、定</w:t>
                  </w:r>
                  <w:r>
                    <w:rPr>
                      <w:rStyle w:val="96"/>
                      <w:rFonts w:eastAsia="Tahoma"/>
                      <w:color w:val="auto"/>
                      <w:sz w:val="21"/>
                      <w:szCs w:val="21"/>
                    </w:rPr>
                    <w:t>4080</w:t>
                  </w:r>
                  <w:r>
                    <w:rPr>
                      <w:rFonts w:hint="eastAsia" w:ascii="宋体" w:hAnsi="宋体" w:cs="宋体"/>
                      <w:color w:val="auto"/>
                      <w:kern w:val="0"/>
                      <w:szCs w:val="21"/>
                    </w:rPr>
                    <w:t>、定</w:t>
                  </w:r>
                  <w:r>
                    <w:rPr>
                      <w:rStyle w:val="96"/>
                      <w:rFonts w:eastAsia="Tahoma"/>
                      <w:color w:val="auto"/>
                      <w:sz w:val="21"/>
                      <w:szCs w:val="21"/>
                    </w:rPr>
                    <w:t>4081</w:t>
                  </w:r>
                  <w:r>
                    <w:rPr>
                      <w:rFonts w:hint="eastAsia" w:ascii="宋体" w:hAnsi="宋体" w:cs="宋体"/>
                      <w:color w:val="auto"/>
                      <w:kern w:val="0"/>
                      <w:szCs w:val="21"/>
                    </w:rPr>
                    <w:t>、定</w:t>
                  </w:r>
                  <w:r>
                    <w:rPr>
                      <w:rStyle w:val="96"/>
                      <w:rFonts w:eastAsia="Tahoma"/>
                      <w:color w:val="auto"/>
                      <w:sz w:val="21"/>
                      <w:szCs w:val="21"/>
                    </w:rPr>
                    <w:t>4092</w:t>
                  </w:r>
                  <w:r>
                    <w:rPr>
                      <w:rFonts w:hint="eastAsia" w:ascii="宋体" w:hAnsi="宋体" w:cs="宋体"/>
                      <w:color w:val="auto"/>
                      <w:kern w:val="0"/>
                      <w:szCs w:val="21"/>
                    </w:rPr>
                    <w:t>、樊三联合站</w:t>
                  </w:r>
                  <w:r>
                    <w:rPr>
                      <w:rFonts w:hint="eastAsia"/>
                      <w:color w:val="auto"/>
                      <w:szCs w:val="21"/>
                    </w:rPr>
                    <w:t>、</w:t>
                  </w:r>
                  <w:r>
                    <w:rPr>
                      <w:rFonts w:hint="eastAsia" w:ascii="宋体" w:hAnsi="宋体" w:cs="宋体"/>
                      <w:color w:val="auto"/>
                      <w:kern w:val="0"/>
                      <w:szCs w:val="21"/>
                    </w:rPr>
                    <w:t>樊一联合站</w:t>
                  </w:r>
                  <w:r>
                    <w:rPr>
                      <w:rFonts w:hint="eastAsia"/>
                      <w:color w:val="auto"/>
                      <w:szCs w:val="21"/>
                    </w:rPr>
                    <w:t>、</w:t>
                  </w:r>
                  <w:r>
                    <w:rPr>
                      <w:rFonts w:hint="eastAsia" w:ascii="宋体" w:hAnsi="宋体" w:cs="宋体"/>
                      <w:color w:val="auto"/>
                      <w:kern w:val="0"/>
                      <w:szCs w:val="21"/>
                    </w:rPr>
                    <w:t>定</w:t>
                  </w:r>
                  <w:r>
                    <w:rPr>
                      <w:rStyle w:val="96"/>
                      <w:rFonts w:eastAsia="Tahoma"/>
                      <w:color w:val="auto"/>
                      <w:sz w:val="21"/>
                      <w:szCs w:val="21"/>
                    </w:rPr>
                    <w:t>44065</w:t>
                  </w:r>
                  <w:r>
                    <w:rPr>
                      <w:rFonts w:hint="eastAsia" w:ascii="宋体" w:hAnsi="宋体" w:cs="宋体"/>
                      <w:color w:val="auto"/>
                      <w:kern w:val="0"/>
                      <w:szCs w:val="21"/>
                    </w:rPr>
                    <w:t>、定</w:t>
                  </w:r>
                  <w:r>
                    <w:rPr>
                      <w:rStyle w:val="96"/>
                      <w:rFonts w:eastAsia="Tahoma"/>
                      <w:color w:val="auto"/>
                      <w:sz w:val="21"/>
                      <w:szCs w:val="21"/>
                    </w:rPr>
                    <w:t>44089</w:t>
                  </w:r>
                  <w:r>
                    <w:rPr>
                      <w:rFonts w:hint="eastAsia" w:ascii="宋体" w:hAnsi="宋体" w:cs="宋体"/>
                      <w:color w:val="auto"/>
                      <w:kern w:val="0"/>
                      <w:szCs w:val="21"/>
                    </w:rPr>
                    <w:t>、定</w:t>
                  </w:r>
                  <w:r>
                    <w:rPr>
                      <w:rStyle w:val="96"/>
                      <w:rFonts w:eastAsia="Tahoma"/>
                      <w:color w:val="auto"/>
                      <w:sz w:val="21"/>
                      <w:szCs w:val="21"/>
                    </w:rPr>
                    <w:t>4466</w:t>
                  </w:r>
                  <w:r>
                    <w:rPr>
                      <w:rFonts w:hint="eastAsia" w:ascii="宋体" w:hAnsi="宋体" w:cs="宋体"/>
                      <w:color w:val="auto"/>
                      <w:kern w:val="0"/>
                      <w:szCs w:val="21"/>
                    </w:rPr>
                    <w:t>、定</w:t>
                  </w:r>
                  <w:r>
                    <w:rPr>
                      <w:rStyle w:val="96"/>
                      <w:rFonts w:eastAsia="Tahoma"/>
                      <w:color w:val="auto"/>
                      <w:sz w:val="21"/>
                      <w:szCs w:val="21"/>
                    </w:rPr>
                    <w:t>4570</w:t>
                  </w:r>
                  <w:r>
                    <w:rPr>
                      <w:rFonts w:hint="eastAsia" w:ascii="宋体" w:hAnsi="宋体" w:cs="宋体"/>
                      <w:color w:val="auto"/>
                      <w:kern w:val="0"/>
                      <w:szCs w:val="21"/>
                    </w:rPr>
                    <w:t>注水站</w:t>
                  </w:r>
                </w:p>
              </w:tc>
              <w:tc>
                <w:tcPr>
                  <w:tcW w:w="1122" w:type="dxa"/>
                  <w:vAlign w:val="center"/>
                </w:tcPr>
                <w:p>
                  <w:pPr>
                    <w:widowControl/>
                    <w:adjustRightInd w:val="0"/>
                    <w:snapToGrid w:val="0"/>
                    <w:jc w:val="center"/>
                    <w:textAlignment w:val="center"/>
                    <w:rPr>
                      <w:rStyle w:val="96"/>
                      <w:rFonts w:eastAsia="Tahoma"/>
                      <w:color w:val="auto"/>
                      <w:sz w:val="21"/>
                      <w:szCs w:val="21"/>
                    </w:rPr>
                  </w:pPr>
                  <w:r>
                    <w:rPr>
                      <w:rStyle w:val="96"/>
                      <w:rFonts w:hint="eastAsia" w:eastAsia="Tahoma"/>
                      <w:color w:val="auto"/>
                      <w:sz w:val="21"/>
                      <w:szCs w:val="21"/>
                    </w:rPr>
                    <w:t>延9、长2、长4+5、长8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Align w:val="center"/>
                </w:tcPr>
                <w:p>
                  <w:pPr>
                    <w:widowControl/>
                    <w:adjustRightInd w:val="0"/>
                    <w:snapToGrid w:val="0"/>
                    <w:jc w:val="center"/>
                    <w:textAlignment w:val="center"/>
                    <w:rPr>
                      <w:rStyle w:val="96"/>
                      <w:rFonts w:eastAsia="Tahoma"/>
                      <w:color w:val="auto"/>
                      <w:sz w:val="21"/>
                      <w:szCs w:val="21"/>
                    </w:rPr>
                  </w:pPr>
                  <w:r>
                    <w:rPr>
                      <w:rStyle w:val="96"/>
                      <w:rFonts w:hint="eastAsia" w:eastAsia="Tahoma"/>
                      <w:color w:val="auto"/>
                      <w:sz w:val="21"/>
                      <w:szCs w:val="21"/>
                    </w:rPr>
                    <w:t>五兴庄采油队五兴庄油区</w:t>
                  </w:r>
                </w:p>
              </w:tc>
              <w:tc>
                <w:tcPr>
                  <w:tcW w:w="5913" w:type="dxa"/>
                  <w:vAlign w:val="center"/>
                </w:tcPr>
                <w:p>
                  <w:pPr>
                    <w:widowControl/>
                    <w:adjustRightInd w:val="0"/>
                    <w:snapToGrid w:val="0"/>
                    <w:jc w:val="center"/>
                    <w:textAlignment w:val="center"/>
                    <w:rPr>
                      <w:rStyle w:val="96"/>
                      <w:rFonts w:eastAsia="Tahoma"/>
                      <w:color w:val="auto"/>
                      <w:sz w:val="21"/>
                      <w:szCs w:val="21"/>
                    </w:rPr>
                  </w:pPr>
                  <w:r>
                    <w:rPr>
                      <w:rFonts w:hint="eastAsia" w:ascii="宋体" w:hAnsi="宋体" w:cs="宋体"/>
                      <w:color w:val="auto"/>
                      <w:kern w:val="0"/>
                      <w:szCs w:val="21"/>
                    </w:rPr>
                    <w:t>卜掌输转站、定</w:t>
                  </w:r>
                  <w:r>
                    <w:rPr>
                      <w:rFonts w:eastAsia="Tahoma"/>
                      <w:color w:val="auto"/>
                      <w:kern w:val="0"/>
                      <w:szCs w:val="21"/>
                    </w:rPr>
                    <w:t>3215</w:t>
                  </w:r>
                  <w:r>
                    <w:rPr>
                      <w:rFonts w:hint="eastAsia" w:ascii="宋体" w:hAnsi="宋体" w:cs="宋体"/>
                      <w:color w:val="auto"/>
                      <w:kern w:val="0"/>
                      <w:szCs w:val="21"/>
                    </w:rPr>
                    <w:t>、定</w:t>
                  </w:r>
                  <w:r>
                    <w:rPr>
                      <w:rStyle w:val="96"/>
                      <w:rFonts w:eastAsia="Tahoma"/>
                      <w:color w:val="auto"/>
                      <w:sz w:val="21"/>
                      <w:szCs w:val="21"/>
                    </w:rPr>
                    <w:t>3371</w:t>
                  </w:r>
                  <w:r>
                    <w:rPr>
                      <w:rFonts w:hint="eastAsia" w:ascii="宋体" w:hAnsi="宋体" w:cs="宋体"/>
                      <w:color w:val="auto"/>
                      <w:kern w:val="0"/>
                      <w:szCs w:val="21"/>
                    </w:rPr>
                    <w:t>、定</w:t>
                  </w:r>
                  <w:r>
                    <w:rPr>
                      <w:rStyle w:val="96"/>
                      <w:rFonts w:eastAsia="Tahoma"/>
                      <w:color w:val="auto"/>
                      <w:sz w:val="21"/>
                      <w:szCs w:val="21"/>
                    </w:rPr>
                    <w:t>3942</w:t>
                  </w:r>
                  <w:r>
                    <w:rPr>
                      <w:rFonts w:hint="eastAsia" w:ascii="宋体" w:hAnsi="宋体" w:cs="宋体"/>
                      <w:color w:val="auto"/>
                      <w:kern w:val="0"/>
                      <w:szCs w:val="21"/>
                    </w:rPr>
                    <w:t>、定</w:t>
                  </w:r>
                  <w:r>
                    <w:rPr>
                      <w:rStyle w:val="96"/>
                      <w:rFonts w:eastAsia="Tahoma"/>
                      <w:color w:val="auto"/>
                      <w:sz w:val="21"/>
                      <w:szCs w:val="21"/>
                    </w:rPr>
                    <w:t>3000</w:t>
                  </w:r>
                  <w:r>
                    <w:rPr>
                      <w:rFonts w:hint="eastAsia" w:ascii="宋体" w:hAnsi="宋体" w:cs="宋体"/>
                      <w:color w:val="auto"/>
                      <w:kern w:val="0"/>
                      <w:szCs w:val="21"/>
                    </w:rPr>
                    <w:t>、定</w:t>
                  </w:r>
                  <w:r>
                    <w:rPr>
                      <w:rStyle w:val="96"/>
                      <w:rFonts w:eastAsia="Tahoma"/>
                      <w:color w:val="auto"/>
                      <w:sz w:val="21"/>
                      <w:szCs w:val="21"/>
                    </w:rPr>
                    <w:t>3276</w:t>
                  </w:r>
                  <w:r>
                    <w:rPr>
                      <w:rFonts w:hint="eastAsia" w:ascii="宋体" w:hAnsi="宋体" w:cs="宋体"/>
                      <w:color w:val="auto"/>
                      <w:kern w:val="0"/>
                      <w:szCs w:val="21"/>
                    </w:rPr>
                    <w:t>、定</w:t>
                  </w:r>
                  <w:r>
                    <w:rPr>
                      <w:rStyle w:val="96"/>
                      <w:rFonts w:eastAsia="Tahoma"/>
                      <w:color w:val="auto"/>
                      <w:sz w:val="21"/>
                      <w:szCs w:val="21"/>
                    </w:rPr>
                    <w:t>3233</w:t>
                  </w:r>
                  <w:r>
                    <w:rPr>
                      <w:rFonts w:hint="eastAsia" w:ascii="宋体" w:hAnsi="宋体" w:cs="宋体"/>
                      <w:color w:val="auto"/>
                      <w:kern w:val="0"/>
                      <w:szCs w:val="21"/>
                    </w:rPr>
                    <w:t>、五兴庄集输站</w:t>
                  </w:r>
                  <w:r>
                    <w:rPr>
                      <w:rFonts w:hint="eastAsia"/>
                      <w:color w:val="auto"/>
                      <w:szCs w:val="21"/>
                    </w:rPr>
                    <w:t>、</w:t>
                  </w:r>
                  <w:r>
                    <w:rPr>
                      <w:rFonts w:hint="eastAsia" w:ascii="宋体" w:hAnsi="宋体" w:cs="宋体"/>
                      <w:color w:val="auto"/>
                      <w:kern w:val="0"/>
                      <w:szCs w:val="21"/>
                    </w:rPr>
                    <w:t>定</w:t>
                  </w:r>
                  <w:r>
                    <w:rPr>
                      <w:rStyle w:val="96"/>
                      <w:rFonts w:eastAsia="Tahoma"/>
                      <w:color w:val="auto"/>
                      <w:sz w:val="21"/>
                      <w:szCs w:val="21"/>
                    </w:rPr>
                    <w:t>3131</w:t>
                  </w:r>
                  <w:r>
                    <w:rPr>
                      <w:rFonts w:hint="eastAsia" w:ascii="宋体" w:hAnsi="宋体" w:cs="宋体"/>
                      <w:color w:val="auto"/>
                      <w:kern w:val="0"/>
                      <w:szCs w:val="21"/>
                    </w:rPr>
                    <w:t>、定</w:t>
                  </w:r>
                  <w:r>
                    <w:rPr>
                      <w:rStyle w:val="96"/>
                      <w:rFonts w:eastAsia="Tahoma"/>
                      <w:color w:val="auto"/>
                      <w:sz w:val="21"/>
                      <w:szCs w:val="21"/>
                    </w:rPr>
                    <w:t>3332</w:t>
                  </w:r>
                  <w:r>
                    <w:rPr>
                      <w:rFonts w:hint="eastAsia" w:ascii="宋体" w:hAnsi="宋体" w:cs="宋体"/>
                      <w:color w:val="auto"/>
                      <w:kern w:val="0"/>
                      <w:szCs w:val="21"/>
                    </w:rPr>
                    <w:t>注水站</w:t>
                  </w:r>
                </w:p>
              </w:tc>
              <w:tc>
                <w:tcPr>
                  <w:tcW w:w="1122" w:type="dxa"/>
                  <w:vAlign w:val="center"/>
                </w:tcPr>
                <w:p>
                  <w:pPr>
                    <w:widowControl/>
                    <w:adjustRightInd w:val="0"/>
                    <w:snapToGrid w:val="0"/>
                    <w:jc w:val="center"/>
                    <w:textAlignment w:val="center"/>
                    <w:rPr>
                      <w:rStyle w:val="96"/>
                      <w:rFonts w:eastAsia="Tahoma"/>
                      <w:color w:val="auto"/>
                      <w:sz w:val="21"/>
                      <w:szCs w:val="21"/>
                    </w:rPr>
                  </w:pPr>
                  <w:r>
                    <w:rPr>
                      <w:rStyle w:val="96"/>
                      <w:rFonts w:hint="eastAsia" w:eastAsia="Tahoma"/>
                      <w:color w:val="auto"/>
                      <w:sz w:val="21"/>
                      <w:szCs w:val="21"/>
                    </w:rPr>
                    <w:t>延9和长8</w:t>
                  </w:r>
                </w:p>
              </w:tc>
            </w:tr>
          </w:tbl>
          <w:p>
            <w:pPr>
              <w:pStyle w:val="9"/>
              <w:snapToGrid/>
              <w:spacing w:before="0" w:after="0" w:line="360" w:lineRule="auto"/>
              <w:ind w:right="0" w:firstLine="482" w:firstLineChars="200"/>
              <w:rPr>
                <w:b/>
                <w:bCs/>
                <w:color w:val="auto"/>
                <w:sz w:val="24"/>
                <w:szCs w:val="24"/>
              </w:rPr>
            </w:pPr>
            <w:r>
              <w:rPr>
                <w:rFonts w:hint="eastAsia"/>
                <w:b/>
                <w:bCs/>
                <w:color w:val="auto"/>
                <w:sz w:val="24"/>
                <w:szCs w:val="24"/>
              </w:rPr>
              <w:t>4、</w:t>
            </w:r>
            <w:r>
              <w:rPr>
                <w:b/>
                <w:bCs/>
                <w:color w:val="auto"/>
                <w:sz w:val="24"/>
                <w:szCs w:val="24"/>
              </w:rPr>
              <w:t>现有工程污染物产、排情况</w:t>
            </w:r>
          </w:p>
          <w:p>
            <w:pPr>
              <w:pStyle w:val="9"/>
              <w:spacing w:before="0" w:after="0" w:line="360" w:lineRule="auto"/>
              <w:ind w:firstLine="480" w:firstLineChars="200"/>
              <w:rPr>
                <w:color w:val="auto"/>
                <w:kern w:val="2"/>
                <w:sz w:val="24"/>
                <w:szCs w:val="24"/>
              </w:rPr>
            </w:pPr>
            <w:r>
              <w:rPr>
                <w:color w:val="auto"/>
                <w:kern w:val="2"/>
                <w:sz w:val="24"/>
                <w:szCs w:val="24"/>
              </w:rPr>
              <w:t>根据</w:t>
            </w:r>
            <w:r>
              <w:rPr>
                <w:rFonts w:hint="eastAsia"/>
                <w:color w:val="auto"/>
                <w:kern w:val="2"/>
                <w:sz w:val="24"/>
                <w:szCs w:val="24"/>
              </w:rPr>
              <w:t>定边采油厂</w:t>
            </w:r>
            <w:r>
              <w:rPr>
                <w:color w:val="auto"/>
                <w:kern w:val="2"/>
                <w:sz w:val="24"/>
                <w:szCs w:val="24"/>
              </w:rPr>
              <w:t>资料和现场踏勘情况可知，项目污染物具体产排情况</w:t>
            </w:r>
            <w:r>
              <w:rPr>
                <w:rFonts w:hint="eastAsia"/>
                <w:color w:val="auto"/>
                <w:kern w:val="2"/>
                <w:sz w:val="24"/>
                <w:szCs w:val="24"/>
              </w:rPr>
              <w:t>见表2-16至表2-18。</w:t>
            </w:r>
          </w:p>
          <w:p>
            <w:pPr>
              <w:pStyle w:val="33"/>
              <w:ind w:left="0" w:leftChars="0" w:firstLine="0"/>
              <w:jc w:val="center"/>
              <w:rPr>
                <w:rFonts w:ascii="黑体" w:hAnsi="黑体" w:eastAsia="黑体" w:cs="黑体"/>
                <w:color w:val="auto"/>
                <w:sz w:val="21"/>
                <w:szCs w:val="21"/>
              </w:rPr>
            </w:pPr>
            <w:r>
              <w:rPr>
                <w:rFonts w:hint="eastAsia" w:ascii="黑体" w:hAnsi="黑体" w:eastAsia="黑体" w:cs="黑体"/>
                <w:color w:val="auto"/>
                <w:sz w:val="21"/>
                <w:szCs w:val="21"/>
              </w:rPr>
              <w:t>表2-16  2511站现有工程“三废”污染物排放情况</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20"/>
              <w:gridCol w:w="591"/>
              <w:gridCol w:w="1128"/>
              <w:gridCol w:w="1166"/>
              <w:gridCol w:w="1065"/>
              <w:gridCol w:w="1020"/>
              <w:gridCol w:w="1155"/>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时段</w:t>
                  </w:r>
                </w:p>
              </w:tc>
              <w:tc>
                <w:tcPr>
                  <w:tcW w:w="591" w:type="dxa"/>
                  <w:vMerge w:val="restart"/>
                  <w:tcMar>
                    <w:left w:w="11" w:type="dxa"/>
                    <w:right w:w="11" w:type="dxa"/>
                  </w:tcMar>
                  <w:vAlign w:val="center"/>
                </w:tcPr>
                <w:p>
                  <w:pPr>
                    <w:adjustRightInd w:val="0"/>
                    <w:snapToGrid w:val="0"/>
                    <w:spacing w:line="240" w:lineRule="exact"/>
                    <w:jc w:val="center"/>
                    <w:rPr>
                      <w:color w:val="auto"/>
                      <w:szCs w:val="21"/>
                    </w:rPr>
                  </w:pPr>
                  <w:r>
                    <w:rPr>
                      <w:color w:val="auto"/>
                      <w:szCs w:val="21"/>
                    </w:rPr>
                    <w:t>要素</w:t>
                  </w:r>
                </w:p>
              </w:tc>
              <w:tc>
                <w:tcPr>
                  <w:tcW w:w="1128" w:type="dxa"/>
                  <w:vMerge w:val="restart"/>
                  <w:tcMar>
                    <w:left w:w="11" w:type="dxa"/>
                    <w:right w:w="11" w:type="dxa"/>
                  </w:tcMar>
                  <w:vAlign w:val="center"/>
                </w:tcPr>
                <w:p>
                  <w:pPr>
                    <w:pStyle w:val="74"/>
                    <w:adjustRightInd w:val="0"/>
                    <w:spacing w:line="240" w:lineRule="exact"/>
                    <w:rPr>
                      <w:color w:val="auto"/>
                      <w:szCs w:val="21"/>
                    </w:rPr>
                  </w:pPr>
                  <w:r>
                    <w:rPr>
                      <w:color w:val="auto"/>
                      <w:szCs w:val="21"/>
                    </w:rPr>
                    <w:t>污染源</w:t>
                  </w:r>
                </w:p>
              </w:tc>
              <w:tc>
                <w:tcPr>
                  <w:tcW w:w="4406" w:type="dxa"/>
                  <w:gridSpan w:val="4"/>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污染物产生量</w:t>
                  </w:r>
                </w:p>
              </w:tc>
              <w:tc>
                <w:tcPr>
                  <w:tcW w:w="1613"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adjustRightInd w:val="0"/>
                    <w:snapToGrid w:val="0"/>
                    <w:spacing w:line="240" w:lineRule="exact"/>
                    <w:jc w:val="center"/>
                    <w:rPr>
                      <w:color w:val="auto"/>
                      <w:szCs w:val="21"/>
                    </w:rPr>
                  </w:pPr>
                </w:p>
              </w:tc>
              <w:tc>
                <w:tcPr>
                  <w:tcW w:w="591" w:type="dxa"/>
                  <w:vMerge w:val="continue"/>
                  <w:tcMar>
                    <w:left w:w="11" w:type="dxa"/>
                    <w:right w:w="11" w:type="dxa"/>
                  </w:tcMar>
                  <w:vAlign w:val="center"/>
                </w:tcPr>
                <w:p>
                  <w:pPr>
                    <w:adjustRightInd w:val="0"/>
                    <w:snapToGrid w:val="0"/>
                    <w:spacing w:line="240" w:lineRule="exact"/>
                    <w:jc w:val="center"/>
                    <w:rPr>
                      <w:color w:val="auto"/>
                      <w:szCs w:val="21"/>
                    </w:rPr>
                  </w:pPr>
                </w:p>
              </w:tc>
              <w:tc>
                <w:tcPr>
                  <w:tcW w:w="1128" w:type="dxa"/>
                  <w:vMerge w:val="continue"/>
                  <w:tcMar>
                    <w:left w:w="11" w:type="dxa"/>
                    <w:right w:w="11" w:type="dxa"/>
                  </w:tcMar>
                  <w:vAlign w:val="center"/>
                </w:tcPr>
                <w:p>
                  <w:pPr>
                    <w:pStyle w:val="74"/>
                    <w:adjustRightInd w:val="0"/>
                    <w:spacing w:line="240" w:lineRule="exact"/>
                    <w:rPr>
                      <w:color w:val="auto"/>
                      <w:szCs w:val="21"/>
                    </w:rPr>
                  </w:pPr>
                </w:p>
              </w:tc>
              <w:tc>
                <w:tcPr>
                  <w:tcW w:w="1166" w:type="dxa"/>
                  <w:tcMar>
                    <w:left w:w="11" w:type="dxa"/>
                    <w:right w:w="11" w:type="dxa"/>
                  </w:tcMar>
                  <w:vAlign w:val="center"/>
                </w:tcPr>
                <w:p>
                  <w:pPr>
                    <w:adjustRightInd w:val="0"/>
                    <w:snapToGrid w:val="0"/>
                    <w:spacing w:line="240" w:lineRule="exact"/>
                    <w:jc w:val="center"/>
                    <w:rPr>
                      <w:color w:val="auto"/>
                      <w:szCs w:val="21"/>
                    </w:rPr>
                  </w:pPr>
                  <w:r>
                    <w:rPr>
                      <w:color w:val="auto"/>
                      <w:szCs w:val="21"/>
                    </w:rPr>
                    <w:t>NO</w:t>
                  </w:r>
                  <w:r>
                    <w:rPr>
                      <w:color w:val="auto"/>
                      <w:szCs w:val="21"/>
                      <w:vertAlign w:val="subscript"/>
                    </w:rPr>
                    <w:t>X</w:t>
                  </w:r>
                </w:p>
              </w:tc>
              <w:tc>
                <w:tcPr>
                  <w:tcW w:w="1065" w:type="dxa"/>
                  <w:tcMar>
                    <w:left w:w="11" w:type="dxa"/>
                    <w:right w:w="11" w:type="dxa"/>
                  </w:tcMar>
                  <w:vAlign w:val="center"/>
                </w:tcPr>
                <w:p>
                  <w:pPr>
                    <w:adjustRightInd w:val="0"/>
                    <w:snapToGrid w:val="0"/>
                    <w:spacing w:line="240" w:lineRule="exact"/>
                    <w:jc w:val="center"/>
                    <w:rPr>
                      <w:color w:val="auto"/>
                      <w:szCs w:val="21"/>
                    </w:rPr>
                  </w:pPr>
                  <w:r>
                    <w:rPr>
                      <w:color w:val="auto"/>
                      <w:szCs w:val="21"/>
                    </w:rPr>
                    <w:t>SO</w:t>
                  </w:r>
                  <w:r>
                    <w:rPr>
                      <w:color w:val="auto"/>
                      <w:szCs w:val="21"/>
                      <w:vertAlign w:val="subscript"/>
                    </w:rPr>
                    <w:t>2</w:t>
                  </w:r>
                </w:p>
              </w:tc>
              <w:tc>
                <w:tcPr>
                  <w:tcW w:w="1020" w:type="dxa"/>
                  <w:tcMar>
                    <w:left w:w="11" w:type="dxa"/>
                    <w:right w:w="11" w:type="dxa"/>
                  </w:tcMar>
                  <w:vAlign w:val="center"/>
                </w:tcPr>
                <w:p>
                  <w:pPr>
                    <w:adjustRightInd w:val="0"/>
                    <w:snapToGrid w:val="0"/>
                    <w:spacing w:line="240" w:lineRule="exact"/>
                    <w:jc w:val="center"/>
                    <w:rPr>
                      <w:color w:val="auto"/>
                      <w:szCs w:val="21"/>
                    </w:rPr>
                  </w:pPr>
                  <w:r>
                    <w:rPr>
                      <w:color w:val="auto"/>
                      <w:szCs w:val="21"/>
                    </w:rPr>
                    <w:t>烟尘</w:t>
                  </w:r>
                </w:p>
              </w:tc>
              <w:tc>
                <w:tcPr>
                  <w:tcW w:w="1155"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烃类</w:t>
                  </w:r>
                </w:p>
              </w:tc>
              <w:tc>
                <w:tcPr>
                  <w:tcW w:w="1613"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运</w:t>
                  </w:r>
                </w:p>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行</w:t>
                  </w:r>
                </w:p>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期</w:t>
                  </w:r>
                </w:p>
              </w:tc>
              <w:tc>
                <w:tcPr>
                  <w:tcW w:w="591"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大气污染物</w:t>
                  </w:r>
                </w:p>
              </w:tc>
              <w:tc>
                <w:tcPr>
                  <w:tcW w:w="1128" w:type="dxa"/>
                  <w:tcMar>
                    <w:left w:w="11" w:type="dxa"/>
                    <w:right w:w="11" w:type="dxa"/>
                  </w:tcMar>
                  <w:vAlign w:val="center"/>
                </w:tcPr>
                <w:p>
                  <w:pPr>
                    <w:pStyle w:val="74"/>
                    <w:adjustRightInd w:val="0"/>
                    <w:spacing w:line="240" w:lineRule="exact"/>
                    <w:rPr>
                      <w:color w:val="auto"/>
                      <w:szCs w:val="21"/>
                    </w:rPr>
                  </w:pPr>
                  <w:r>
                    <w:rPr>
                      <w:rFonts w:hint="eastAsia"/>
                      <w:color w:val="auto"/>
                      <w:szCs w:val="21"/>
                    </w:rPr>
                    <w:t>无组织废气</w:t>
                  </w:r>
                </w:p>
              </w:tc>
              <w:tc>
                <w:tcPr>
                  <w:tcW w:w="1166" w:type="dxa"/>
                  <w:tcMar>
                    <w:left w:w="11" w:type="dxa"/>
                    <w:right w:w="11" w:type="dxa"/>
                  </w:tcMar>
                  <w:vAlign w:val="center"/>
                </w:tcPr>
                <w:p>
                  <w:pPr>
                    <w:adjustRightInd w:val="0"/>
                    <w:snapToGrid w:val="0"/>
                    <w:spacing w:line="240" w:lineRule="exact"/>
                    <w:jc w:val="center"/>
                    <w:rPr>
                      <w:color w:val="auto"/>
                      <w:szCs w:val="21"/>
                    </w:rPr>
                  </w:pPr>
                  <w:r>
                    <w:rPr>
                      <w:rFonts w:hint="eastAsia"/>
                      <w:color w:val="auto"/>
                      <w:szCs w:val="21"/>
                    </w:rPr>
                    <w:t>/</w:t>
                  </w:r>
                </w:p>
              </w:tc>
              <w:tc>
                <w:tcPr>
                  <w:tcW w:w="1065" w:type="dxa"/>
                  <w:vAlign w:val="center"/>
                </w:tcPr>
                <w:p>
                  <w:pPr>
                    <w:adjustRightInd w:val="0"/>
                    <w:snapToGrid w:val="0"/>
                    <w:spacing w:line="240" w:lineRule="exact"/>
                    <w:jc w:val="center"/>
                    <w:rPr>
                      <w:color w:val="auto"/>
                      <w:szCs w:val="21"/>
                    </w:rPr>
                  </w:pPr>
                  <w:r>
                    <w:rPr>
                      <w:rFonts w:hint="eastAsia"/>
                      <w:color w:val="auto"/>
                      <w:szCs w:val="21"/>
                    </w:rPr>
                    <w:t>/</w:t>
                  </w:r>
                </w:p>
              </w:tc>
              <w:tc>
                <w:tcPr>
                  <w:tcW w:w="1020" w:type="dxa"/>
                  <w:vAlign w:val="center"/>
                </w:tcPr>
                <w:p>
                  <w:pPr>
                    <w:adjustRightInd w:val="0"/>
                    <w:snapToGrid w:val="0"/>
                    <w:spacing w:line="240" w:lineRule="exact"/>
                    <w:jc w:val="center"/>
                    <w:rPr>
                      <w:color w:val="auto"/>
                      <w:szCs w:val="21"/>
                    </w:rPr>
                  </w:pPr>
                  <w:r>
                    <w:rPr>
                      <w:rFonts w:hint="eastAsia"/>
                      <w:color w:val="auto"/>
                      <w:szCs w:val="21"/>
                    </w:rPr>
                    <w:t>/</w:t>
                  </w:r>
                </w:p>
              </w:tc>
              <w:tc>
                <w:tcPr>
                  <w:tcW w:w="1155" w:type="dxa"/>
                  <w:vAlign w:val="center"/>
                </w:tcPr>
                <w:p>
                  <w:pPr>
                    <w:pStyle w:val="54"/>
                    <w:spacing w:beforeLines="0" w:afterLines="0" w:line="240" w:lineRule="exact"/>
                    <w:rPr>
                      <w:rFonts w:ascii="Times New Roman" w:hAnsi="Times New Roman" w:cs="Times New Roman"/>
                      <w:color w:val="auto"/>
                      <w:spacing w:val="-20"/>
                      <w:szCs w:val="21"/>
                    </w:rPr>
                  </w:pPr>
                  <w:r>
                    <w:rPr>
                      <w:rFonts w:hint="eastAsia" w:ascii="Times New Roman" w:hAnsi="Times New Roman" w:cs="Times New Roman"/>
                      <w:color w:val="auto"/>
                      <w:spacing w:val="-20"/>
                      <w:szCs w:val="21"/>
                    </w:rPr>
                    <w:t>0.05</w:t>
                  </w:r>
                </w:p>
              </w:tc>
              <w:tc>
                <w:tcPr>
                  <w:tcW w:w="1613"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环境空气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591"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水污</w:t>
                  </w:r>
                </w:p>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染物</w:t>
                  </w:r>
                </w:p>
              </w:tc>
              <w:tc>
                <w:tcPr>
                  <w:tcW w:w="1128"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类型</w:t>
                  </w:r>
                </w:p>
              </w:tc>
              <w:tc>
                <w:tcPr>
                  <w:tcW w:w="2231" w:type="dxa"/>
                  <w:gridSpan w:val="2"/>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产生量</w:t>
                  </w:r>
                </w:p>
              </w:tc>
              <w:tc>
                <w:tcPr>
                  <w:tcW w:w="2175" w:type="dxa"/>
                  <w:gridSpan w:val="2"/>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排放量</w:t>
                  </w:r>
                </w:p>
              </w:tc>
              <w:tc>
                <w:tcPr>
                  <w:tcW w:w="1613"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591" w:type="dxa"/>
                  <w:vMerge w:val="continue"/>
                  <w:tcMar>
                    <w:left w:w="11" w:type="dxa"/>
                    <w:right w:w="11" w:type="dxa"/>
                  </w:tcMar>
                  <w:vAlign w:val="center"/>
                </w:tcPr>
                <w:p>
                  <w:pPr>
                    <w:adjustRightInd w:val="0"/>
                    <w:snapToGrid w:val="0"/>
                    <w:spacing w:line="240" w:lineRule="exact"/>
                    <w:jc w:val="center"/>
                    <w:rPr>
                      <w:color w:val="auto"/>
                      <w:szCs w:val="21"/>
                    </w:rPr>
                  </w:pPr>
                </w:p>
              </w:tc>
              <w:tc>
                <w:tcPr>
                  <w:tcW w:w="1128" w:type="dxa"/>
                  <w:tcMar>
                    <w:left w:w="11" w:type="dxa"/>
                    <w:right w:w="11" w:type="dxa"/>
                  </w:tcMar>
                  <w:vAlign w:val="center"/>
                </w:tcPr>
                <w:p>
                  <w:pPr>
                    <w:adjustRightInd w:val="0"/>
                    <w:snapToGrid w:val="0"/>
                    <w:spacing w:line="240" w:lineRule="exact"/>
                    <w:jc w:val="center"/>
                    <w:rPr>
                      <w:color w:val="auto"/>
                      <w:szCs w:val="21"/>
                    </w:rPr>
                  </w:pPr>
                  <w:r>
                    <w:rPr>
                      <w:color w:val="auto"/>
                      <w:szCs w:val="21"/>
                    </w:rPr>
                    <w:t>生活污水</w:t>
                  </w:r>
                </w:p>
              </w:tc>
              <w:tc>
                <w:tcPr>
                  <w:tcW w:w="2231" w:type="dxa"/>
                  <w:gridSpan w:val="2"/>
                  <w:tcMar>
                    <w:left w:w="11" w:type="dxa"/>
                    <w:right w:w="11" w:type="dxa"/>
                  </w:tcMar>
                  <w:vAlign w:val="center"/>
                </w:tcPr>
                <w:p>
                  <w:pPr>
                    <w:adjustRightInd w:val="0"/>
                    <w:snapToGrid w:val="0"/>
                    <w:spacing w:line="240" w:lineRule="exact"/>
                    <w:jc w:val="center"/>
                    <w:rPr>
                      <w:color w:val="auto"/>
                      <w:szCs w:val="21"/>
                    </w:rPr>
                  </w:pPr>
                  <w:r>
                    <w:rPr>
                      <w:rFonts w:hint="eastAsia"/>
                      <w:color w:val="auto"/>
                      <w:szCs w:val="21"/>
                    </w:rPr>
                    <w:t>4.7</w:t>
                  </w:r>
                  <w:r>
                    <w:rPr>
                      <w:color w:val="auto"/>
                      <w:szCs w:val="21"/>
                    </w:rPr>
                    <w:t>m</w:t>
                  </w:r>
                  <w:r>
                    <w:rPr>
                      <w:color w:val="auto"/>
                      <w:szCs w:val="21"/>
                      <w:vertAlign w:val="superscript"/>
                    </w:rPr>
                    <w:t>3</w:t>
                  </w:r>
                  <w:r>
                    <w:rPr>
                      <w:color w:val="auto"/>
                      <w:szCs w:val="21"/>
                    </w:rPr>
                    <w:t>/a</w:t>
                  </w:r>
                </w:p>
              </w:tc>
              <w:tc>
                <w:tcPr>
                  <w:tcW w:w="2175" w:type="dxa"/>
                  <w:gridSpan w:val="2"/>
                  <w:tcMar>
                    <w:left w:w="11" w:type="dxa"/>
                    <w:right w:w="11" w:type="dxa"/>
                  </w:tcMar>
                  <w:vAlign w:val="center"/>
                </w:tcPr>
                <w:p>
                  <w:pPr>
                    <w:adjustRightInd w:val="0"/>
                    <w:snapToGrid w:val="0"/>
                    <w:spacing w:line="240" w:lineRule="exact"/>
                    <w:jc w:val="center"/>
                    <w:rPr>
                      <w:color w:val="auto"/>
                      <w:szCs w:val="21"/>
                    </w:rPr>
                  </w:pPr>
                  <w:r>
                    <w:rPr>
                      <w:color w:val="auto"/>
                      <w:szCs w:val="21"/>
                    </w:rPr>
                    <w:t>0m</w:t>
                  </w:r>
                  <w:r>
                    <w:rPr>
                      <w:color w:val="auto"/>
                      <w:szCs w:val="21"/>
                      <w:vertAlign w:val="superscript"/>
                    </w:rPr>
                    <w:t>3</w:t>
                  </w:r>
                  <w:r>
                    <w:rPr>
                      <w:color w:val="auto"/>
                      <w:szCs w:val="21"/>
                    </w:rPr>
                    <w:t>/a</w:t>
                  </w:r>
                </w:p>
              </w:tc>
              <w:tc>
                <w:tcPr>
                  <w:tcW w:w="1613" w:type="dxa"/>
                  <w:vAlign w:val="center"/>
                </w:tcPr>
                <w:p>
                  <w:pPr>
                    <w:adjustRightInd w:val="0"/>
                    <w:snapToGrid w:val="0"/>
                    <w:spacing w:line="240" w:lineRule="exact"/>
                    <w:jc w:val="center"/>
                    <w:rPr>
                      <w:color w:val="auto"/>
                      <w:szCs w:val="21"/>
                    </w:rPr>
                  </w:pPr>
                  <w:r>
                    <w:rPr>
                      <w:rFonts w:hint="eastAsia"/>
                      <w:color w:val="auto"/>
                      <w:szCs w:val="21"/>
                    </w:rPr>
                    <w:t>洒水抑尘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591"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固体</w:t>
                  </w:r>
                </w:p>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废物</w:t>
                  </w:r>
                </w:p>
              </w:tc>
              <w:tc>
                <w:tcPr>
                  <w:tcW w:w="1128"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类型</w:t>
                  </w:r>
                </w:p>
              </w:tc>
              <w:tc>
                <w:tcPr>
                  <w:tcW w:w="2231" w:type="dxa"/>
                  <w:gridSpan w:val="2"/>
                  <w:tcMar>
                    <w:left w:w="11" w:type="dxa"/>
                    <w:right w:w="11" w:type="dxa"/>
                  </w:tcMar>
                  <w:vAlign w:val="center"/>
                </w:tcPr>
                <w:p>
                  <w:pPr>
                    <w:adjustRightInd w:val="0"/>
                    <w:snapToGrid w:val="0"/>
                    <w:spacing w:line="240" w:lineRule="exact"/>
                    <w:jc w:val="center"/>
                    <w:rPr>
                      <w:color w:val="auto"/>
                      <w:szCs w:val="21"/>
                    </w:rPr>
                  </w:pPr>
                  <w:r>
                    <w:rPr>
                      <w:color w:val="auto"/>
                      <w:szCs w:val="21"/>
                    </w:rPr>
                    <w:t>产生量</w:t>
                  </w:r>
                </w:p>
              </w:tc>
              <w:tc>
                <w:tcPr>
                  <w:tcW w:w="3788" w:type="dxa"/>
                  <w:gridSpan w:val="3"/>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591"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1128" w:type="dxa"/>
                  <w:tcMar>
                    <w:left w:w="11" w:type="dxa"/>
                    <w:right w:w="11" w:type="dxa"/>
                  </w:tcMar>
                  <w:vAlign w:val="center"/>
                </w:tcPr>
                <w:p>
                  <w:pPr>
                    <w:adjustRightInd w:val="0"/>
                    <w:snapToGrid w:val="0"/>
                    <w:spacing w:line="240" w:lineRule="exact"/>
                    <w:jc w:val="center"/>
                    <w:rPr>
                      <w:color w:val="auto"/>
                      <w:szCs w:val="21"/>
                    </w:rPr>
                  </w:pPr>
                  <w:r>
                    <w:rPr>
                      <w:color w:val="auto"/>
                      <w:szCs w:val="21"/>
                    </w:rPr>
                    <w:t>生活垃圾</w:t>
                  </w:r>
                </w:p>
              </w:tc>
              <w:tc>
                <w:tcPr>
                  <w:tcW w:w="2231" w:type="dxa"/>
                  <w:gridSpan w:val="2"/>
                  <w:tcMar>
                    <w:left w:w="11" w:type="dxa"/>
                    <w:right w:w="11" w:type="dxa"/>
                  </w:tcMar>
                  <w:vAlign w:val="center"/>
                </w:tcPr>
                <w:p>
                  <w:pPr>
                    <w:adjustRightInd w:val="0"/>
                    <w:snapToGrid w:val="0"/>
                    <w:spacing w:line="240" w:lineRule="exact"/>
                    <w:jc w:val="center"/>
                    <w:rPr>
                      <w:color w:val="auto"/>
                      <w:szCs w:val="21"/>
                    </w:rPr>
                  </w:pPr>
                  <w:r>
                    <w:rPr>
                      <w:rFonts w:hint="eastAsia"/>
                      <w:color w:val="auto"/>
                      <w:szCs w:val="21"/>
                    </w:rPr>
                    <w:t>0.72</w:t>
                  </w:r>
                  <w:r>
                    <w:rPr>
                      <w:color w:val="auto"/>
                      <w:szCs w:val="21"/>
                    </w:rPr>
                    <w:t>t/a</w:t>
                  </w:r>
                </w:p>
              </w:tc>
              <w:tc>
                <w:tcPr>
                  <w:tcW w:w="3788" w:type="dxa"/>
                  <w:gridSpan w:val="3"/>
                  <w:tcMar>
                    <w:left w:w="11" w:type="dxa"/>
                    <w:right w:w="11" w:type="dxa"/>
                  </w:tcMar>
                  <w:vAlign w:val="center"/>
                </w:tcPr>
                <w:p>
                  <w:pPr>
                    <w:adjustRightInd w:val="0"/>
                    <w:snapToGrid w:val="0"/>
                    <w:spacing w:line="240" w:lineRule="exact"/>
                    <w:jc w:val="center"/>
                    <w:rPr>
                      <w:color w:val="auto"/>
                      <w:szCs w:val="21"/>
                    </w:rPr>
                  </w:pPr>
                  <w:r>
                    <w:rPr>
                      <w:color w:val="auto"/>
                      <w:szCs w:val="21"/>
                    </w:rPr>
                    <w:t>统一收集运输至环卫部门指定地点处置</w:t>
                  </w:r>
                </w:p>
              </w:tc>
            </w:tr>
          </w:tbl>
          <w:p>
            <w:pPr>
              <w:pStyle w:val="9"/>
              <w:snapToGrid/>
              <w:spacing w:before="0" w:after="0" w:line="360" w:lineRule="auto"/>
              <w:ind w:right="0" w:firstLine="0" w:firstLineChars="0"/>
              <w:jc w:val="center"/>
              <w:rPr>
                <w:rFonts w:ascii="黑体" w:hAnsi="黑体" w:eastAsia="黑体" w:cs="黑体"/>
                <w:color w:val="auto"/>
                <w:sz w:val="21"/>
                <w:szCs w:val="21"/>
              </w:rPr>
            </w:pPr>
            <w:r>
              <w:rPr>
                <w:rFonts w:hint="eastAsia" w:ascii="黑体" w:hAnsi="黑体" w:eastAsia="黑体" w:cs="黑体"/>
                <w:color w:val="auto"/>
                <w:sz w:val="21"/>
                <w:szCs w:val="21"/>
              </w:rPr>
              <w:t>表2-17  3270站现现有工程“三废”污染物排放情况</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20"/>
              <w:gridCol w:w="591"/>
              <w:gridCol w:w="1128"/>
              <w:gridCol w:w="1166"/>
              <w:gridCol w:w="1065"/>
              <w:gridCol w:w="1020"/>
              <w:gridCol w:w="1155"/>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时段</w:t>
                  </w:r>
                </w:p>
              </w:tc>
              <w:tc>
                <w:tcPr>
                  <w:tcW w:w="591" w:type="dxa"/>
                  <w:vMerge w:val="restart"/>
                  <w:tcMar>
                    <w:left w:w="11" w:type="dxa"/>
                    <w:right w:w="11" w:type="dxa"/>
                  </w:tcMar>
                  <w:vAlign w:val="center"/>
                </w:tcPr>
                <w:p>
                  <w:pPr>
                    <w:adjustRightInd w:val="0"/>
                    <w:snapToGrid w:val="0"/>
                    <w:spacing w:line="240" w:lineRule="exact"/>
                    <w:jc w:val="center"/>
                    <w:rPr>
                      <w:color w:val="auto"/>
                      <w:szCs w:val="21"/>
                    </w:rPr>
                  </w:pPr>
                  <w:r>
                    <w:rPr>
                      <w:color w:val="auto"/>
                      <w:szCs w:val="21"/>
                    </w:rPr>
                    <w:t>要素</w:t>
                  </w:r>
                </w:p>
              </w:tc>
              <w:tc>
                <w:tcPr>
                  <w:tcW w:w="1128" w:type="dxa"/>
                  <w:vMerge w:val="restart"/>
                  <w:tcMar>
                    <w:left w:w="11" w:type="dxa"/>
                    <w:right w:w="11" w:type="dxa"/>
                  </w:tcMar>
                  <w:vAlign w:val="center"/>
                </w:tcPr>
                <w:p>
                  <w:pPr>
                    <w:pStyle w:val="74"/>
                    <w:adjustRightInd w:val="0"/>
                    <w:spacing w:line="240" w:lineRule="exact"/>
                    <w:rPr>
                      <w:color w:val="auto"/>
                      <w:szCs w:val="21"/>
                    </w:rPr>
                  </w:pPr>
                  <w:r>
                    <w:rPr>
                      <w:color w:val="auto"/>
                      <w:szCs w:val="21"/>
                    </w:rPr>
                    <w:t>污染源</w:t>
                  </w:r>
                </w:p>
              </w:tc>
              <w:tc>
                <w:tcPr>
                  <w:tcW w:w="4406" w:type="dxa"/>
                  <w:gridSpan w:val="4"/>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污染物产生量</w:t>
                  </w:r>
                </w:p>
              </w:tc>
              <w:tc>
                <w:tcPr>
                  <w:tcW w:w="1613"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adjustRightInd w:val="0"/>
                    <w:snapToGrid w:val="0"/>
                    <w:spacing w:line="240" w:lineRule="exact"/>
                    <w:jc w:val="center"/>
                    <w:rPr>
                      <w:color w:val="auto"/>
                      <w:szCs w:val="21"/>
                    </w:rPr>
                  </w:pPr>
                </w:p>
              </w:tc>
              <w:tc>
                <w:tcPr>
                  <w:tcW w:w="591" w:type="dxa"/>
                  <w:vMerge w:val="continue"/>
                  <w:tcMar>
                    <w:left w:w="11" w:type="dxa"/>
                    <w:right w:w="11" w:type="dxa"/>
                  </w:tcMar>
                  <w:vAlign w:val="center"/>
                </w:tcPr>
                <w:p>
                  <w:pPr>
                    <w:adjustRightInd w:val="0"/>
                    <w:snapToGrid w:val="0"/>
                    <w:spacing w:line="240" w:lineRule="exact"/>
                    <w:jc w:val="center"/>
                    <w:rPr>
                      <w:color w:val="auto"/>
                      <w:szCs w:val="21"/>
                    </w:rPr>
                  </w:pPr>
                </w:p>
              </w:tc>
              <w:tc>
                <w:tcPr>
                  <w:tcW w:w="1128" w:type="dxa"/>
                  <w:vMerge w:val="continue"/>
                  <w:tcMar>
                    <w:left w:w="11" w:type="dxa"/>
                    <w:right w:w="11" w:type="dxa"/>
                  </w:tcMar>
                  <w:vAlign w:val="center"/>
                </w:tcPr>
                <w:p>
                  <w:pPr>
                    <w:pStyle w:val="74"/>
                    <w:adjustRightInd w:val="0"/>
                    <w:spacing w:line="240" w:lineRule="exact"/>
                    <w:rPr>
                      <w:color w:val="auto"/>
                      <w:szCs w:val="21"/>
                    </w:rPr>
                  </w:pPr>
                </w:p>
              </w:tc>
              <w:tc>
                <w:tcPr>
                  <w:tcW w:w="1166" w:type="dxa"/>
                  <w:tcMar>
                    <w:left w:w="11" w:type="dxa"/>
                    <w:right w:w="11" w:type="dxa"/>
                  </w:tcMar>
                  <w:vAlign w:val="center"/>
                </w:tcPr>
                <w:p>
                  <w:pPr>
                    <w:adjustRightInd w:val="0"/>
                    <w:snapToGrid w:val="0"/>
                    <w:spacing w:line="240" w:lineRule="exact"/>
                    <w:jc w:val="center"/>
                    <w:rPr>
                      <w:color w:val="auto"/>
                      <w:szCs w:val="21"/>
                    </w:rPr>
                  </w:pPr>
                  <w:r>
                    <w:rPr>
                      <w:color w:val="auto"/>
                      <w:szCs w:val="21"/>
                    </w:rPr>
                    <w:t>NO</w:t>
                  </w:r>
                  <w:r>
                    <w:rPr>
                      <w:color w:val="auto"/>
                      <w:szCs w:val="21"/>
                      <w:vertAlign w:val="subscript"/>
                    </w:rPr>
                    <w:t>X</w:t>
                  </w:r>
                </w:p>
              </w:tc>
              <w:tc>
                <w:tcPr>
                  <w:tcW w:w="1065" w:type="dxa"/>
                  <w:tcMar>
                    <w:left w:w="11" w:type="dxa"/>
                    <w:right w:w="11" w:type="dxa"/>
                  </w:tcMar>
                  <w:vAlign w:val="center"/>
                </w:tcPr>
                <w:p>
                  <w:pPr>
                    <w:adjustRightInd w:val="0"/>
                    <w:snapToGrid w:val="0"/>
                    <w:spacing w:line="240" w:lineRule="exact"/>
                    <w:jc w:val="center"/>
                    <w:rPr>
                      <w:color w:val="auto"/>
                      <w:szCs w:val="21"/>
                    </w:rPr>
                  </w:pPr>
                  <w:r>
                    <w:rPr>
                      <w:color w:val="auto"/>
                      <w:szCs w:val="21"/>
                    </w:rPr>
                    <w:t>SO</w:t>
                  </w:r>
                  <w:r>
                    <w:rPr>
                      <w:color w:val="auto"/>
                      <w:szCs w:val="21"/>
                      <w:vertAlign w:val="subscript"/>
                    </w:rPr>
                    <w:t>2</w:t>
                  </w:r>
                </w:p>
              </w:tc>
              <w:tc>
                <w:tcPr>
                  <w:tcW w:w="1020" w:type="dxa"/>
                  <w:tcMar>
                    <w:left w:w="11" w:type="dxa"/>
                    <w:right w:w="11" w:type="dxa"/>
                  </w:tcMar>
                  <w:vAlign w:val="center"/>
                </w:tcPr>
                <w:p>
                  <w:pPr>
                    <w:adjustRightInd w:val="0"/>
                    <w:snapToGrid w:val="0"/>
                    <w:spacing w:line="240" w:lineRule="exact"/>
                    <w:jc w:val="center"/>
                    <w:rPr>
                      <w:color w:val="auto"/>
                      <w:szCs w:val="21"/>
                    </w:rPr>
                  </w:pPr>
                  <w:r>
                    <w:rPr>
                      <w:color w:val="auto"/>
                      <w:szCs w:val="21"/>
                    </w:rPr>
                    <w:t>烟尘</w:t>
                  </w:r>
                </w:p>
              </w:tc>
              <w:tc>
                <w:tcPr>
                  <w:tcW w:w="1155"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烃类</w:t>
                  </w:r>
                </w:p>
              </w:tc>
              <w:tc>
                <w:tcPr>
                  <w:tcW w:w="1613"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运</w:t>
                  </w:r>
                </w:p>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行</w:t>
                  </w:r>
                </w:p>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期</w:t>
                  </w:r>
                </w:p>
              </w:tc>
              <w:tc>
                <w:tcPr>
                  <w:tcW w:w="591"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大气污染物</w:t>
                  </w:r>
                </w:p>
              </w:tc>
              <w:tc>
                <w:tcPr>
                  <w:tcW w:w="1128" w:type="dxa"/>
                  <w:tcMar>
                    <w:left w:w="11" w:type="dxa"/>
                    <w:right w:w="11" w:type="dxa"/>
                  </w:tcMar>
                  <w:vAlign w:val="center"/>
                </w:tcPr>
                <w:p>
                  <w:pPr>
                    <w:pStyle w:val="74"/>
                    <w:adjustRightInd w:val="0"/>
                    <w:spacing w:line="240" w:lineRule="exact"/>
                    <w:rPr>
                      <w:color w:val="auto"/>
                      <w:szCs w:val="21"/>
                    </w:rPr>
                  </w:pPr>
                  <w:r>
                    <w:rPr>
                      <w:rFonts w:hint="eastAsia"/>
                      <w:color w:val="auto"/>
                      <w:szCs w:val="21"/>
                    </w:rPr>
                    <w:t>无组织废气</w:t>
                  </w:r>
                </w:p>
              </w:tc>
              <w:tc>
                <w:tcPr>
                  <w:tcW w:w="1166" w:type="dxa"/>
                  <w:tcMar>
                    <w:left w:w="11" w:type="dxa"/>
                    <w:right w:w="11" w:type="dxa"/>
                  </w:tcMar>
                  <w:vAlign w:val="center"/>
                </w:tcPr>
                <w:p>
                  <w:pPr>
                    <w:adjustRightInd w:val="0"/>
                    <w:snapToGrid w:val="0"/>
                    <w:spacing w:line="240" w:lineRule="exact"/>
                    <w:jc w:val="center"/>
                    <w:rPr>
                      <w:color w:val="auto"/>
                      <w:szCs w:val="21"/>
                    </w:rPr>
                  </w:pPr>
                  <w:r>
                    <w:rPr>
                      <w:rFonts w:hint="eastAsia"/>
                      <w:color w:val="auto"/>
                      <w:szCs w:val="21"/>
                    </w:rPr>
                    <w:t>/</w:t>
                  </w:r>
                </w:p>
              </w:tc>
              <w:tc>
                <w:tcPr>
                  <w:tcW w:w="1065" w:type="dxa"/>
                  <w:vAlign w:val="center"/>
                </w:tcPr>
                <w:p>
                  <w:pPr>
                    <w:adjustRightInd w:val="0"/>
                    <w:snapToGrid w:val="0"/>
                    <w:spacing w:line="240" w:lineRule="exact"/>
                    <w:jc w:val="center"/>
                    <w:rPr>
                      <w:color w:val="auto"/>
                      <w:szCs w:val="21"/>
                    </w:rPr>
                  </w:pPr>
                  <w:r>
                    <w:rPr>
                      <w:rFonts w:hint="eastAsia"/>
                      <w:color w:val="auto"/>
                      <w:szCs w:val="21"/>
                    </w:rPr>
                    <w:t>/</w:t>
                  </w:r>
                </w:p>
              </w:tc>
              <w:tc>
                <w:tcPr>
                  <w:tcW w:w="1020" w:type="dxa"/>
                  <w:vAlign w:val="center"/>
                </w:tcPr>
                <w:p>
                  <w:pPr>
                    <w:adjustRightInd w:val="0"/>
                    <w:snapToGrid w:val="0"/>
                    <w:spacing w:line="240" w:lineRule="exact"/>
                    <w:jc w:val="center"/>
                    <w:rPr>
                      <w:color w:val="auto"/>
                      <w:szCs w:val="21"/>
                    </w:rPr>
                  </w:pPr>
                  <w:r>
                    <w:rPr>
                      <w:rFonts w:hint="eastAsia"/>
                      <w:color w:val="auto"/>
                      <w:szCs w:val="21"/>
                    </w:rPr>
                    <w:t>/</w:t>
                  </w:r>
                </w:p>
              </w:tc>
              <w:tc>
                <w:tcPr>
                  <w:tcW w:w="1155" w:type="dxa"/>
                  <w:vAlign w:val="center"/>
                </w:tcPr>
                <w:p>
                  <w:pPr>
                    <w:pStyle w:val="54"/>
                    <w:spacing w:beforeLines="0" w:afterLines="0" w:line="240" w:lineRule="exact"/>
                    <w:rPr>
                      <w:rFonts w:ascii="Times New Roman" w:hAnsi="Times New Roman" w:cs="Times New Roman"/>
                      <w:color w:val="auto"/>
                      <w:spacing w:val="-20"/>
                      <w:szCs w:val="21"/>
                    </w:rPr>
                  </w:pPr>
                  <w:r>
                    <w:rPr>
                      <w:rFonts w:hint="eastAsia" w:ascii="Times New Roman" w:hAnsi="Times New Roman" w:cs="Times New Roman"/>
                      <w:color w:val="auto"/>
                      <w:spacing w:val="-20"/>
                      <w:szCs w:val="21"/>
                    </w:rPr>
                    <w:t>0.45</w:t>
                  </w:r>
                </w:p>
              </w:tc>
              <w:tc>
                <w:tcPr>
                  <w:tcW w:w="1613"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环境空气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591"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1128" w:type="dxa"/>
                  <w:tcMar>
                    <w:left w:w="11" w:type="dxa"/>
                    <w:right w:w="11" w:type="dxa"/>
                  </w:tcMar>
                  <w:vAlign w:val="center"/>
                </w:tcPr>
                <w:p>
                  <w:pPr>
                    <w:pStyle w:val="74"/>
                    <w:adjustRightInd w:val="0"/>
                    <w:spacing w:line="240" w:lineRule="exact"/>
                    <w:rPr>
                      <w:color w:val="auto"/>
                      <w:szCs w:val="21"/>
                    </w:rPr>
                  </w:pPr>
                  <w:r>
                    <w:rPr>
                      <w:rFonts w:hint="eastAsia"/>
                      <w:color w:val="auto"/>
                      <w:szCs w:val="21"/>
                    </w:rPr>
                    <w:t>燃气锅炉</w:t>
                  </w:r>
                </w:p>
              </w:tc>
              <w:tc>
                <w:tcPr>
                  <w:tcW w:w="1166" w:type="dxa"/>
                  <w:tcMar>
                    <w:left w:w="11" w:type="dxa"/>
                    <w:right w:w="11" w:type="dxa"/>
                  </w:tcMar>
                  <w:vAlign w:val="center"/>
                </w:tcPr>
                <w:p>
                  <w:pPr>
                    <w:adjustRightInd w:val="0"/>
                    <w:snapToGrid w:val="0"/>
                    <w:spacing w:line="240" w:lineRule="exact"/>
                    <w:jc w:val="center"/>
                    <w:rPr>
                      <w:color w:val="auto"/>
                      <w:szCs w:val="21"/>
                    </w:rPr>
                  </w:pPr>
                  <w:r>
                    <w:rPr>
                      <w:rFonts w:hint="eastAsia" w:hAnsi="宋体"/>
                      <w:color w:val="auto"/>
                      <w:kern w:val="0"/>
                      <w:szCs w:val="21"/>
                    </w:rPr>
                    <w:t>0.16</w:t>
                  </w:r>
                </w:p>
              </w:tc>
              <w:tc>
                <w:tcPr>
                  <w:tcW w:w="1065" w:type="dxa"/>
                  <w:vAlign w:val="center"/>
                </w:tcPr>
                <w:p>
                  <w:pPr>
                    <w:adjustRightInd w:val="0"/>
                    <w:snapToGrid w:val="0"/>
                    <w:spacing w:line="240" w:lineRule="exact"/>
                    <w:jc w:val="center"/>
                    <w:rPr>
                      <w:color w:val="auto"/>
                      <w:szCs w:val="21"/>
                    </w:rPr>
                  </w:pPr>
                  <w:r>
                    <w:rPr>
                      <w:rFonts w:hint="eastAsia" w:hAnsi="宋体"/>
                      <w:color w:val="auto"/>
                      <w:kern w:val="0"/>
                      <w:szCs w:val="21"/>
                    </w:rPr>
                    <w:t>0.07</w:t>
                  </w:r>
                </w:p>
              </w:tc>
              <w:tc>
                <w:tcPr>
                  <w:tcW w:w="1020" w:type="dxa"/>
                  <w:vAlign w:val="center"/>
                </w:tcPr>
                <w:p>
                  <w:pPr>
                    <w:adjustRightInd w:val="0"/>
                    <w:snapToGrid w:val="0"/>
                    <w:spacing w:line="240" w:lineRule="exact"/>
                    <w:jc w:val="center"/>
                    <w:rPr>
                      <w:color w:val="auto"/>
                      <w:szCs w:val="21"/>
                    </w:rPr>
                  </w:pPr>
                  <w:r>
                    <w:rPr>
                      <w:rFonts w:hint="eastAsia"/>
                      <w:color w:val="auto"/>
                      <w:szCs w:val="21"/>
                    </w:rPr>
                    <w:t>0.03</w:t>
                  </w:r>
                </w:p>
              </w:tc>
              <w:tc>
                <w:tcPr>
                  <w:tcW w:w="1155" w:type="dxa"/>
                  <w:vAlign w:val="center"/>
                </w:tcPr>
                <w:p>
                  <w:pPr>
                    <w:pStyle w:val="54"/>
                    <w:spacing w:beforeLines="0" w:afterLines="0" w:line="240" w:lineRule="exact"/>
                    <w:rPr>
                      <w:rFonts w:ascii="Times New Roman" w:hAnsi="Times New Roman" w:cs="Times New Roman"/>
                      <w:color w:val="auto"/>
                      <w:spacing w:val="-20"/>
                      <w:szCs w:val="21"/>
                    </w:rPr>
                  </w:pPr>
                  <w:r>
                    <w:rPr>
                      <w:rFonts w:hint="eastAsia" w:ascii="Times New Roman" w:hAnsi="Times New Roman" w:cs="Times New Roman"/>
                      <w:color w:val="auto"/>
                      <w:spacing w:val="-20"/>
                      <w:szCs w:val="21"/>
                    </w:rPr>
                    <w:t>/</w:t>
                  </w:r>
                </w:p>
              </w:tc>
              <w:tc>
                <w:tcPr>
                  <w:tcW w:w="1613"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591"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水污</w:t>
                  </w:r>
                </w:p>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染物</w:t>
                  </w:r>
                </w:p>
              </w:tc>
              <w:tc>
                <w:tcPr>
                  <w:tcW w:w="1128"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类型</w:t>
                  </w:r>
                </w:p>
              </w:tc>
              <w:tc>
                <w:tcPr>
                  <w:tcW w:w="2231" w:type="dxa"/>
                  <w:gridSpan w:val="2"/>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产生量</w:t>
                  </w:r>
                </w:p>
              </w:tc>
              <w:tc>
                <w:tcPr>
                  <w:tcW w:w="2175" w:type="dxa"/>
                  <w:gridSpan w:val="2"/>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排放量</w:t>
                  </w:r>
                </w:p>
              </w:tc>
              <w:tc>
                <w:tcPr>
                  <w:tcW w:w="1613"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591" w:type="dxa"/>
                  <w:vMerge w:val="continue"/>
                  <w:tcMar>
                    <w:left w:w="11" w:type="dxa"/>
                    <w:right w:w="11" w:type="dxa"/>
                  </w:tcMar>
                  <w:vAlign w:val="center"/>
                </w:tcPr>
                <w:p>
                  <w:pPr>
                    <w:adjustRightInd w:val="0"/>
                    <w:snapToGrid w:val="0"/>
                    <w:spacing w:line="240" w:lineRule="exact"/>
                    <w:jc w:val="center"/>
                    <w:rPr>
                      <w:color w:val="auto"/>
                      <w:szCs w:val="21"/>
                    </w:rPr>
                  </w:pPr>
                </w:p>
              </w:tc>
              <w:tc>
                <w:tcPr>
                  <w:tcW w:w="1128" w:type="dxa"/>
                  <w:tcMar>
                    <w:left w:w="11" w:type="dxa"/>
                    <w:right w:w="11" w:type="dxa"/>
                  </w:tcMar>
                  <w:vAlign w:val="center"/>
                </w:tcPr>
                <w:p>
                  <w:pPr>
                    <w:adjustRightInd w:val="0"/>
                    <w:snapToGrid w:val="0"/>
                    <w:spacing w:line="240" w:lineRule="exact"/>
                    <w:jc w:val="center"/>
                    <w:rPr>
                      <w:color w:val="auto"/>
                      <w:szCs w:val="21"/>
                    </w:rPr>
                  </w:pPr>
                  <w:r>
                    <w:rPr>
                      <w:color w:val="auto"/>
                      <w:szCs w:val="21"/>
                    </w:rPr>
                    <w:t>生活污水</w:t>
                  </w:r>
                </w:p>
              </w:tc>
              <w:tc>
                <w:tcPr>
                  <w:tcW w:w="2231" w:type="dxa"/>
                  <w:gridSpan w:val="2"/>
                  <w:tcMar>
                    <w:left w:w="11" w:type="dxa"/>
                    <w:right w:w="11" w:type="dxa"/>
                  </w:tcMar>
                  <w:vAlign w:val="center"/>
                </w:tcPr>
                <w:p>
                  <w:pPr>
                    <w:adjustRightInd w:val="0"/>
                    <w:snapToGrid w:val="0"/>
                    <w:spacing w:line="240" w:lineRule="exact"/>
                    <w:jc w:val="center"/>
                    <w:rPr>
                      <w:color w:val="auto"/>
                      <w:szCs w:val="21"/>
                    </w:rPr>
                  </w:pPr>
                  <w:r>
                    <w:rPr>
                      <w:rFonts w:hint="eastAsia"/>
                      <w:color w:val="auto"/>
                      <w:szCs w:val="21"/>
                    </w:rPr>
                    <w:t>23.73</w:t>
                  </w:r>
                  <w:r>
                    <w:rPr>
                      <w:color w:val="auto"/>
                      <w:szCs w:val="21"/>
                    </w:rPr>
                    <w:t>m</w:t>
                  </w:r>
                  <w:r>
                    <w:rPr>
                      <w:color w:val="auto"/>
                      <w:szCs w:val="21"/>
                      <w:vertAlign w:val="superscript"/>
                    </w:rPr>
                    <w:t>3</w:t>
                  </w:r>
                  <w:r>
                    <w:rPr>
                      <w:color w:val="auto"/>
                      <w:szCs w:val="21"/>
                    </w:rPr>
                    <w:t>/a</w:t>
                  </w:r>
                </w:p>
              </w:tc>
              <w:tc>
                <w:tcPr>
                  <w:tcW w:w="2175" w:type="dxa"/>
                  <w:gridSpan w:val="2"/>
                  <w:tcMar>
                    <w:left w:w="11" w:type="dxa"/>
                    <w:right w:w="11" w:type="dxa"/>
                  </w:tcMar>
                  <w:vAlign w:val="center"/>
                </w:tcPr>
                <w:p>
                  <w:pPr>
                    <w:adjustRightInd w:val="0"/>
                    <w:snapToGrid w:val="0"/>
                    <w:spacing w:line="240" w:lineRule="exact"/>
                    <w:jc w:val="center"/>
                    <w:rPr>
                      <w:color w:val="auto"/>
                      <w:szCs w:val="21"/>
                    </w:rPr>
                  </w:pPr>
                  <w:r>
                    <w:rPr>
                      <w:color w:val="auto"/>
                      <w:szCs w:val="21"/>
                    </w:rPr>
                    <w:t>0m</w:t>
                  </w:r>
                  <w:r>
                    <w:rPr>
                      <w:color w:val="auto"/>
                      <w:szCs w:val="21"/>
                      <w:vertAlign w:val="superscript"/>
                    </w:rPr>
                    <w:t>3</w:t>
                  </w:r>
                  <w:r>
                    <w:rPr>
                      <w:color w:val="auto"/>
                      <w:szCs w:val="21"/>
                    </w:rPr>
                    <w:t>/a</w:t>
                  </w:r>
                </w:p>
              </w:tc>
              <w:tc>
                <w:tcPr>
                  <w:tcW w:w="1613" w:type="dxa"/>
                  <w:vAlign w:val="center"/>
                </w:tcPr>
                <w:p>
                  <w:pPr>
                    <w:adjustRightInd w:val="0"/>
                    <w:snapToGrid w:val="0"/>
                    <w:spacing w:line="240" w:lineRule="exact"/>
                    <w:jc w:val="center"/>
                    <w:rPr>
                      <w:color w:val="auto"/>
                      <w:szCs w:val="21"/>
                    </w:rPr>
                  </w:pPr>
                  <w:r>
                    <w:rPr>
                      <w:rFonts w:hint="eastAsia"/>
                      <w:color w:val="auto"/>
                      <w:szCs w:val="21"/>
                    </w:rPr>
                    <w:t>洒水抑尘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591"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固体</w:t>
                  </w:r>
                </w:p>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废物</w:t>
                  </w:r>
                </w:p>
              </w:tc>
              <w:tc>
                <w:tcPr>
                  <w:tcW w:w="1128"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类型</w:t>
                  </w:r>
                </w:p>
              </w:tc>
              <w:tc>
                <w:tcPr>
                  <w:tcW w:w="2231" w:type="dxa"/>
                  <w:gridSpan w:val="2"/>
                  <w:tcMar>
                    <w:left w:w="11" w:type="dxa"/>
                    <w:right w:w="11" w:type="dxa"/>
                  </w:tcMar>
                  <w:vAlign w:val="center"/>
                </w:tcPr>
                <w:p>
                  <w:pPr>
                    <w:adjustRightInd w:val="0"/>
                    <w:snapToGrid w:val="0"/>
                    <w:spacing w:line="240" w:lineRule="exact"/>
                    <w:jc w:val="center"/>
                    <w:rPr>
                      <w:color w:val="auto"/>
                      <w:szCs w:val="21"/>
                    </w:rPr>
                  </w:pPr>
                  <w:r>
                    <w:rPr>
                      <w:color w:val="auto"/>
                      <w:szCs w:val="21"/>
                    </w:rPr>
                    <w:t>产生量</w:t>
                  </w:r>
                </w:p>
              </w:tc>
              <w:tc>
                <w:tcPr>
                  <w:tcW w:w="3788" w:type="dxa"/>
                  <w:gridSpan w:val="3"/>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591"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1128" w:type="dxa"/>
                  <w:tcMar>
                    <w:left w:w="11" w:type="dxa"/>
                    <w:right w:w="11" w:type="dxa"/>
                  </w:tcMar>
                  <w:vAlign w:val="center"/>
                </w:tcPr>
                <w:p>
                  <w:pPr>
                    <w:adjustRightInd w:val="0"/>
                    <w:snapToGrid w:val="0"/>
                    <w:spacing w:line="240" w:lineRule="exact"/>
                    <w:jc w:val="center"/>
                    <w:rPr>
                      <w:color w:val="auto"/>
                      <w:szCs w:val="21"/>
                    </w:rPr>
                  </w:pPr>
                  <w:r>
                    <w:rPr>
                      <w:color w:val="auto"/>
                      <w:szCs w:val="21"/>
                    </w:rPr>
                    <w:t>生活垃圾</w:t>
                  </w:r>
                </w:p>
              </w:tc>
              <w:tc>
                <w:tcPr>
                  <w:tcW w:w="2231" w:type="dxa"/>
                  <w:gridSpan w:val="2"/>
                  <w:tcMar>
                    <w:left w:w="11" w:type="dxa"/>
                    <w:right w:w="11" w:type="dxa"/>
                  </w:tcMar>
                  <w:vAlign w:val="center"/>
                </w:tcPr>
                <w:p>
                  <w:pPr>
                    <w:adjustRightInd w:val="0"/>
                    <w:snapToGrid w:val="0"/>
                    <w:spacing w:line="240" w:lineRule="exact"/>
                    <w:jc w:val="center"/>
                    <w:rPr>
                      <w:color w:val="auto"/>
                      <w:szCs w:val="21"/>
                    </w:rPr>
                  </w:pPr>
                  <w:r>
                    <w:rPr>
                      <w:rFonts w:hint="eastAsia"/>
                      <w:color w:val="auto"/>
                      <w:szCs w:val="21"/>
                    </w:rPr>
                    <w:t>3.65</w:t>
                  </w:r>
                  <w:r>
                    <w:rPr>
                      <w:color w:val="auto"/>
                      <w:szCs w:val="21"/>
                    </w:rPr>
                    <w:t>t/a</w:t>
                  </w:r>
                </w:p>
              </w:tc>
              <w:tc>
                <w:tcPr>
                  <w:tcW w:w="3788" w:type="dxa"/>
                  <w:gridSpan w:val="3"/>
                  <w:tcMar>
                    <w:left w:w="11" w:type="dxa"/>
                    <w:right w:w="11" w:type="dxa"/>
                  </w:tcMar>
                  <w:vAlign w:val="center"/>
                </w:tcPr>
                <w:p>
                  <w:pPr>
                    <w:adjustRightInd w:val="0"/>
                    <w:snapToGrid w:val="0"/>
                    <w:spacing w:line="240" w:lineRule="exact"/>
                    <w:jc w:val="center"/>
                    <w:rPr>
                      <w:color w:val="auto"/>
                      <w:szCs w:val="21"/>
                    </w:rPr>
                  </w:pPr>
                  <w:r>
                    <w:rPr>
                      <w:color w:val="auto"/>
                      <w:szCs w:val="21"/>
                    </w:rPr>
                    <w:t>统一收集运输至环卫部门指定地点处置</w:t>
                  </w:r>
                </w:p>
              </w:tc>
            </w:tr>
          </w:tbl>
          <w:p>
            <w:pPr>
              <w:pStyle w:val="9"/>
              <w:snapToGrid/>
              <w:spacing w:before="0" w:after="0" w:line="360" w:lineRule="auto"/>
              <w:ind w:right="0" w:firstLine="0" w:firstLineChars="0"/>
              <w:jc w:val="center"/>
              <w:rPr>
                <w:b/>
                <w:bCs/>
                <w:color w:val="auto"/>
                <w:sz w:val="24"/>
                <w:szCs w:val="24"/>
              </w:rPr>
            </w:pPr>
            <w:r>
              <w:rPr>
                <w:rFonts w:hint="eastAsia" w:ascii="黑体" w:hAnsi="黑体" w:eastAsia="黑体" w:cs="黑体"/>
                <w:color w:val="auto"/>
                <w:sz w:val="21"/>
                <w:szCs w:val="21"/>
              </w:rPr>
              <w:t>表2-18  4926-4站现有工程“三废”污染物排放情况</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20"/>
              <w:gridCol w:w="591"/>
              <w:gridCol w:w="1128"/>
              <w:gridCol w:w="1166"/>
              <w:gridCol w:w="1065"/>
              <w:gridCol w:w="1020"/>
              <w:gridCol w:w="1155"/>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时段</w:t>
                  </w:r>
                </w:p>
              </w:tc>
              <w:tc>
                <w:tcPr>
                  <w:tcW w:w="591" w:type="dxa"/>
                  <w:vMerge w:val="restart"/>
                  <w:tcMar>
                    <w:left w:w="11" w:type="dxa"/>
                    <w:right w:w="11" w:type="dxa"/>
                  </w:tcMar>
                  <w:vAlign w:val="center"/>
                </w:tcPr>
                <w:p>
                  <w:pPr>
                    <w:adjustRightInd w:val="0"/>
                    <w:snapToGrid w:val="0"/>
                    <w:spacing w:line="240" w:lineRule="exact"/>
                    <w:jc w:val="center"/>
                    <w:rPr>
                      <w:color w:val="auto"/>
                      <w:szCs w:val="21"/>
                    </w:rPr>
                  </w:pPr>
                  <w:r>
                    <w:rPr>
                      <w:color w:val="auto"/>
                      <w:szCs w:val="21"/>
                    </w:rPr>
                    <w:t>要素</w:t>
                  </w:r>
                </w:p>
              </w:tc>
              <w:tc>
                <w:tcPr>
                  <w:tcW w:w="1128" w:type="dxa"/>
                  <w:vMerge w:val="restart"/>
                  <w:tcMar>
                    <w:left w:w="11" w:type="dxa"/>
                    <w:right w:w="11" w:type="dxa"/>
                  </w:tcMar>
                  <w:vAlign w:val="center"/>
                </w:tcPr>
                <w:p>
                  <w:pPr>
                    <w:pStyle w:val="74"/>
                    <w:adjustRightInd w:val="0"/>
                    <w:spacing w:line="240" w:lineRule="exact"/>
                    <w:rPr>
                      <w:color w:val="auto"/>
                      <w:szCs w:val="21"/>
                    </w:rPr>
                  </w:pPr>
                  <w:r>
                    <w:rPr>
                      <w:color w:val="auto"/>
                      <w:szCs w:val="21"/>
                    </w:rPr>
                    <w:t>污染源</w:t>
                  </w:r>
                </w:p>
              </w:tc>
              <w:tc>
                <w:tcPr>
                  <w:tcW w:w="4406" w:type="dxa"/>
                  <w:gridSpan w:val="4"/>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污染物产生量</w:t>
                  </w:r>
                </w:p>
              </w:tc>
              <w:tc>
                <w:tcPr>
                  <w:tcW w:w="1613"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adjustRightInd w:val="0"/>
                    <w:snapToGrid w:val="0"/>
                    <w:spacing w:line="240" w:lineRule="exact"/>
                    <w:jc w:val="center"/>
                    <w:rPr>
                      <w:color w:val="auto"/>
                      <w:szCs w:val="21"/>
                    </w:rPr>
                  </w:pPr>
                </w:p>
              </w:tc>
              <w:tc>
                <w:tcPr>
                  <w:tcW w:w="591" w:type="dxa"/>
                  <w:vMerge w:val="continue"/>
                  <w:tcMar>
                    <w:left w:w="11" w:type="dxa"/>
                    <w:right w:w="11" w:type="dxa"/>
                  </w:tcMar>
                  <w:vAlign w:val="center"/>
                </w:tcPr>
                <w:p>
                  <w:pPr>
                    <w:adjustRightInd w:val="0"/>
                    <w:snapToGrid w:val="0"/>
                    <w:spacing w:line="240" w:lineRule="exact"/>
                    <w:jc w:val="center"/>
                    <w:rPr>
                      <w:color w:val="auto"/>
                      <w:szCs w:val="21"/>
                    </w:rPr>
                  </w:pPr>
                </w:p>
              </w:tc>
              <w:tc>
                <w:tcPr>
                  <w:tcW w:w="1128" w:type="dxa"/>
                  <w:vMerge w:val="continue"/>
                  <w:tcMar>
                    <w:left w:w="11" w:type="dxa"/>
                    <w:right w:w="11" w:type="dxa"/>
                  </w:tcMar>
                  <w:vAlign w:val="center"/>
                </w:tcPr>
                <w:p>
                  <w:pPr>
                    <w:pStyle w:val="74"/>
                    <w:adjustRightInd w:val="0"/>
                    <w:spacing w:line="240" w:lineRule="exact"/>
                    <w:rPr>
                      <w:color w:val="auto"/>
                      <w:szCs w:val="21"/>
                    </w:rPr>
                  </w:pPr>
                </w:p>
              </w:tc>
              <w:tc>
                <w:tcPr>
                  <w:tcW w:w="1166" w:type="dxa"/>
                  <w:tcMar>
                    <w:left w:w="11" w:type="dxa"/>
                    <w:right w:w="11" w:type="dxa"/>
                  </w:tcMar>
                  <w:vAlign w:val="center"/>
                </w:tcPr>
                <w:p>
                  <w:pPr>
                    <w:adjustRightInd w:val="0"/>
                    <w:snapToGrid w:val="0"/>
                    <w:spacing w:line="240" w:lineRule="exact"/>
                    <w:jc w:val="center"/>
                    <w:rPr>
                      <w:color w:val="auto"/>
                      <w:szCs w:val="21"/>
                    </w:rPr>
                  </w:pPr>
                  <w:r>
                    <w:rPr>
                      <w:color w:val="auto"/>
                      <w:szCs w:val="21"/>
                    </w:rPr>
                    <w:t>NO</w:t>
                  </w:r>
                  <w:r>
                    <w:rPr>
                      <w:color w:val="auto"/>
                      <w:szCs w:val="21"/>
                      <w:vertAlign w:val="subscript"/>
                    </w:rPr>
                    <w:t>X</w:t>
                  </w:r>
                </w:p>
              </w:tc>
              <w:tc>
                <w:tcPr>
                  <w:tcW w:w="1065" w:type="dxa"/>
                  <w:tcMar>
                    <w:left w:w="11" w:type="dxa"/>
                    <w:right w:w="11" w:type="dxa"/>
                  </w:tcMar>
                  <w:vAlign w:val="center"/>
                </w:tcPr>
                <w:p>
                  <w:pPr>
                    <w:adjustRightInd w:val="0"/>
                    <w:snapToGrid w:val="0"/>
                    <w:spacing w:line="240" w:lineRule="exact"/>
                    <w:jc w:val="center"/>
                    <w:rPr>
                      <w:color w:val="auto"/>
                      <w:szCs w:val="21"/>
                    </w:rPr>
                  </w:pPr>
                  <w:r>
                    <w:rPr>
                      <w:color w:val="auto"/>
                      <w:szCs w:val="21"/>
                    </w:rPr>
                    <w:t>SO</w:t>
                  </w:r>
                  <w:r>
                    <w:rPr>
                      <w:color w:val="auto"/>
                      <w:szCs w:val="21"/>
                      <w:vertAlign w:val="subscript"/>
                    </w:rPr>
                    <w:t>2</w:t>
                  </w:r>
                </w:p>
              </w:tc>
              <w:tc>
                <w:tcPr>
                  <w:tcW w:w="1020" w:type="dxa"/>
                  <w:tcMar>
                    <w:left w:w="11" w:type="dxa"/>
                    <w:right w:w="11" w:type="dxa"/>
                  </w:tcMar>
                  <w:vAlign w:val="center"/>
                </w:tcPr>
                <w:p>
                  <w:pPr>
                    <w:adjustRightInd w:val="0"/>
                    <w:snapToGrid w:val="0"/>
                    <w:spacing w:line="240" w:lineRule="exact"/>
                    <w:jc w:val="center"/>
                    <w:rPr>
                      <w:color w:val="auto"/>
                      <w:szCs w:val="21"/>
                    </w:rPr>
                  </w:pPr>
                  <w:r>
                    <w:rPr>
                      <w:color w:val="auto"/>
                      <w:szCs w:val="21"/>
                    </w:rPr>
                    <w:t>烟尘</w:t>
                  </w:r>
                </w:p>
              </w:tc>
              <w:tc>
                <w:tcPr>
                  <w:tcW w:w="1155"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烃类</w:t>
                  </w:r>
                </w:p>
              </w:tc>
              <w:tc>
                <w:tcPr>
                  <w:tcW w:w="1613"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运</w:t>
                  </w:r>
                </w:p>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行</w:t>
                  </w:r>
                </w:p>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期</w:t>
                  </w:r>
                </w:p>
              </w:tc>
              <w:tc>
                <w:tcPr>
                  <w:tcW w:w="591"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大气污染物</w:t>
                  </w:r>
                </w:p>
              </w:tc>
              <w:tc>
                <w:tcPr>
                  <w:tcW w:w="1128" w:type="dxa"/>
                  <w:tcMar>
                    <w:left w:w="11" w:type="dxa"/>
                    <w:right w:w="11" w:type="dxa"/>
                  </w:tcMar>
                  <w:vAlign w:val="center"/>
                </w:tcPr>
                <w:p>
                  <w:pPr>
                    <w:pStyle w:val="74"/>
                    <w:adjustRightInd w:val="0"/>
                    <w:spacing w:line="240" w:lineRule="exact"/>
                    <w:rPr>
                      <w:color w:val="auto"/>
                      <w:szCs w:val="21"/>
                    </w:rPr>
                  </w:pPr>
                  <w:r>
                    <w:rPr>
                      <w:rFonts w:hint="eastAsia"/>
                      <w:color w:val="auto"/>
                      <w:szCs w:val="21"/>
                    </w:rPr>
                    <w:t>无组织废气</w:t>
                  </w:r>
                </w:p>
              </w:tc>
              <w:tc>
                <w:tcPr>
                  <w:tcW w:w="1166" w:type="dxa"/>
                  <w:tcMar>
                    <w:left w:w="11" w:type="dxa"/>
                    <w:right w:w="11" w:type="dxa"/>
                  </w:tcMar>
                  <w:vAlign w:val="center"/>
                </w:tcPr>
                <w:p>
                  <w:pPr>
                    <w:adjustRightInd w:val="0"/>
                    <w:snapToGrid w:val="0"/>
                    <w:spacing w:line="240" w:lineRule="exact"/>
                    <w:jc w:val="center"/>
                    <w:rPr>
                      <w:color w:val="auto"/>
                      <w:szCs w:val="21"/>
                    </w:rPr>
                  </w:pPr>
                  <w:r>
                    <w:rPr>
                      <w:rFonts w:hint="eastAsia"/>
                      <w:color w:val="auto"/>
                      <w:szCs w:val="21"/>
                    </w:rPr>
                    <w:t>/</w:t>
                  </w:r>
                </w:p>
              </w:tc>
              <w:tc>
                <w:tcPr>
                  <w:tcW w:w="1065" w:type="dxa"/>
                  <w:vAlign w:val="center"/>
                </w:tcPr>
                <w:p>
                  <w:pPr>
                    <w:adjustRightInd w:val="0"/>
                    <w:snapToGrid w:val="0"/>
                    <w:spacing w:line="240" w:lineRule="exact"/>
                    <w:jc w:val="center"/>
                    <w:rPr>
                      <w:color w:val="auto"/>
                      <w:szCs w:val="21"/>
                    </w:rPr>
                  </w:pPr>
                  <w:r>
                    <w:rPr>
                      <w:rFonts w:hint="eastAsia"/>
                      <w:color w:val="auto"/>
                      <w:szCs w:val="21"/>
                    </w:rPr>
                    <w:t>/</w:t>
                  </w:r>
                </w:p>
              </w:tc>
              <w:tc>
                <w:tcPr>
                  <w:tcW w:w="1020" w:type="dxa"/>
                  <w:vAlign w:val="center"/>
                </w:tcPr>
                <w:p>
                  <w:pPr>
                    <w:adjustRightInd w:val="0"/>
                    <w:snapToGrid w:val="0"/>
                    <w:spacing w:line="240" w:lineRule="exact"/>
                    <w:jc w:val="center"/>
                    <w:rPr>
                      <w:color w:val="auto"/>
                      <w:szCs w:val="21"/>
                    </w:rPr>
                  </w:pPr>
                  <w:r>
                    <w:rPr>
                      <w:rFonts w:hint="eastAsia"/>
                      <w:color w:val="auto"/>
                      <w:szCs w:val="21"/>
                    </w:rPr>
                    <w:t>/</w:t>
                  </w:r>
                </w:p>
              </w:tc>
              <w:tc>
                <w:tcPr>
                  <w:tcW w:w="1155" w:type="dxa"/>
                  <w:vAlign w:val="center"/>
                </w:tcPr>
                <w:p>
                  <w:pPr>
                    <w:pStyle w:val="54"/>
                    <w:spacing w:beforeLines="0" w:afterLines="0" w:line="240" w:lineRule="exact"/>
                    <w:rPr>
                      <w:rFonts w:ascii="Times New Roman" w:hAnsi="Times New Roman" w:cs="Times New Roman"/>
                      <w:color w:val="auto"/>
                      <w:spacing w:val="-20"/>
                      <w:szCs w:val="21"/>
                    </w:rPr>
                  </w:pPr>
                  <w:r>
                    <w:rPr>
                      <w:rFonts w:hint="eastAsia" w:ascii="Times New Roman" w:hAnsi="Times New Roman" w:cs="Times New Roman"/>
                      <w:color w:val="auto"/>
                      <w:spacing w:val="-20"/>
                      <w:szCs w:val="21"/>
                    </w:rPr>
                    <w:t>0.15</w:t>
                  </w:r>
                </w:p>
              </w:tc>
              <w:tc>
                <w:tcPr>
                  <w:tcW w:w="1613"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环境空气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591"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水污</w:t>
                  </w:r>
                </w:p>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染物</w:t>
                  </w:r>
                </w:p>
              </w:tc>
              <w:tc>
                <w:tcPr>
                  <w:tcW w:w="1128"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类型</w:t>
                  </w:r>
                </w:p>
              </w:tc>
              <w:tc>
                <w:tcPr>
                  <w:tcW w:w="2231" w:type="dxa"/>
                  <w:gridSpan w:val="2"/>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产生量</w:t>
                  </w:r>
                </w:p>
              </w:tc>
              <w:tc>
                <w:tcPr>
                  <w:tcW w:w="2175" w:type="dxa"/>
                  <w:gridSpan w:val="2"/>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排放量</w:t>
                  </w:r>
                </w:p>
              </w:tc>
              <w:tc>
                <w:tcPr>
                  <w:tcW w:w="1613"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591" w:type="dxa"/>
                  <w:vMerge w:val="continue"/>
                  <w:tcMar>
                    <w:left w:w="11" w:type="dxa"/>
                    <w:right w:w="11" w:type="dxa"/>
                  </w:tcMar>
                  <w:vAlign w:val="center"/>
                </w:tcPr>
                <w:p>
                  <w:pPr>
                    <w:adjustRightInd w:val="0"/>
                    <w:snapToGrid w:val="0"/>
                    <w:spacing w:line="240" w:lineRule="exact"/>
                    <w:jc w:val="center"/>
                    <w:rPr>
                      <w:color w:val="auto"/>
                      <w:szCs w:val="21"/>
                    </w:rPr>
                  </w:pPr>
                </w:p>
              </w:tc>
              <w:tc>
                <w:tcPr>
                  <w:tcW w:w="1128" w:type="dxa"/>
                  <w:tcMar>
                    <w:left w:w="11" w:type="dxa"/>
                    <w:right w:w="11" w:type="dxa"/>
                  </w:tcMar>
                  <w:vAlign w:val="center"/>
                </w:tcPr>
                <w:p>
                  <w:pPr>
                    <w:adjustRightInd w:val="0"/>
                    <w:snapToGrid w:val="0"/>
                    <w:spacing w:line="240" w:lineRule="exact"/>
                    <w:jc w:val="center"/>
                    <w:rPr>
                      <w:color w:val="auto"/>
                      <w:szCs w:val="21"/>
                    </w:rPr>
                  </w:pPr>
                  <w:r>
                    <w:rPr>
                      <w:color w:val="auto"/>
                      <w:szCs w:val="21"/>
                    </w:rPr>
                    <w:t>生活污水</w:t>
                  </w:r>
                </w:p>
              </w:tc>
              <w:tc>
                <w:tcPr>
                  <w:tcW w:w="2231" w:type="dxa"/>
                  <w:gridSpan w:val="2"/>
                  <w:tcMar>
                    <w:left w:w="11" w:type="dxa"/>
                    <w:right w:w="11" w:type="dxa"/>
                  </w:tcMar>
                  <w:vAlign w:val="center"/>
                </w:tcPr>
                <w:p>
                  <w:pPr>
                    <w:adjustRightInd w:val="0"/>
                    <w:snapToGrid w:val="0"/>
                    <w:spacing w:line="240" w:lineRule="exact"/>
                    <w:jc w:val="center"/>
                    <w:rPr>
                      <w:color w:val="auto"/>
                      <w:szCs w:val="21"/>
                    </w:rPr>
                  </w:pPr>
                  <w:r>
                    <w:rPr>
                      <w:rFonts w:hint="eastAsia"/>
                      <w:color w:val="auto"/>
                      <w:szCs w:val="21"/>
                    </w:rPr>
                    <w:t>11.85</w:t>
                  </w:r>
                  <w:r>
                    <w:rPr>
                      <w:color w:val="auto"/>
                      <w:szCs w:val="21"/>
                    </w:rPr>
                    <w:t>m</w:t>
                  </w:r>
                  <w:r>
                    <w:rPr>
                      <w:color w:val="auto"/>
                      <w:szCs w:val="21"/>
                      <w:vertAlign w:val="superscript"/>
                    </w:rPr>
                    <w:t>3</w:t>
                  </w:r>
                  <w:r>
                    <w:rPr>
                      <w:color w:val="auto"/>
                      <w:szCs w:val="21"/>
                    </w:rPr>
                    <w:t>/a</w:t>
                  </w:r>
                </w:p>
              </w:tc>
              <w:tc>
                <w:tcPr>
                  <w:tcW w:w="2175" w:type="dxa"/>
                  <w:gridSpan w:val="2"/>
                  <w:tcMar>
                    <w:left w:w="11" w:type="dxa"/>
                    <w:right w:w="11" w:type="dxa"/>
                  </w:tcMar>
                  <w:vAlign w:val="center"/>
                </w:tcPr>
                <w:p>
                  <w:pPr>
                    <w:adjustRightInd w:val="0"/>
                    <w:snapToGrid w:val="0"/>
                    <w:spacing w:line="240" w:lineRule="exact"/>
                    <w:jc w:val="center"/>
                    <w:rPr>
                      <w:color w:val="auto"/>
                      <w:szCs w:val="21"/>
                    </w:rPr>
                  </w:pPr>
                  <w:r>
                    <w:rPr>
                      <w:color w:val="auto"/>
                      <w:szCs w:val="21"/>
                    </w:rPr>
                    <w:t>0m</w:t>
                  </w:r>
                  <w:r>
                    <w:rPr>
                      <w:color w:val="auto"/>
                      <w:szCs w:val="21"/>
                      <w:vertAlign w:val="superscript"/>
                    </w:rPr>
                    <w:t>3</w:t>
                  </w:r>
                  <w:r>
                    <w:rPr>
                      <w:color w:val="auto"/>
                      <w:szCs w:val="21"/>
                    </w:rPr>
                    <w:t>/a</w:t>
                  </w:r>
                </w:p>
              </w:tc>
              <w:tc>
                <w:tcPr>
                  <w:tcW w:w="1613" w:type="dxa"/>
                  <w:vAlign w:val="center"/>
                </w:tcPr>
                <w:p>
                  <w:pPr>
                    <w:adjustRightInd w:val="0"/>
                    <w:snapToGrid w:val="0"/>
                    <w:spacing w:line="240" w:lineRule="exact"/>
                    <w:jc w:val="center"/>
                    <w:rPr>
                      <w:color w:val="auto"/>
                      <w:szCs w:val="21"/>
                    </w:rPr>
                  </w:pPr>
                  <w:r>
                    <w:rPr>
                      <w:rFonts w:hint="eastAsia"/>
                      <w:color w:val="auto"/>
                      <w:szCs w:val="21"/>
                    </w:rPr>
                    <w:t>洒水抑尘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591" w:type="dxa"/>
                  <w:vMerge w:val="restart"/>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固体</w:t>
                  </w:r>
                </w:p>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废物</w:t>
                  </w:r>
                </w:p>
              </w:tc>
              <w:tc>
                <w:tcPr>
                  <w:tcW w:w="1128" w:type="dxa"/>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类型</w:t>
                  </w:r>
                </w:p>
              </w:tc>
              <w:tc>
                <w:tcPr>
                  <w:tcW w:w="2231" w:type="dxa"/>
                  <w:gridSpan w:val="2"/>
                  <w:tcMar>
                    <w:left w:w="11" w:type="dxa"/>
                    <w:right w:w="11" w:type="dxa"/>
                  </w:tcMar>
                  <w:vAlign w:val="center"/>
                </w:tcPr>
                <w:p>
                  <w:pPr>
                    <w:adjustRightInd w:val="0"/>
                    <w:snapToGrid w:val="0"/>
                    <w:spacing w:line="240" w:lineRule="exact"/>
                    <w:jc w:val="center"/>
                    <w:rPr>
                      <w:color w:val="auto"/>
                      <w:szCs w:val="21"/>
                    </w:rPr>
                  </w:pPr>
                  <w:r>
                    <w:rPr>
                      <w:color w:val="auto"/>
                      <w:szCs w:val="21"/>
                    </w:rPr>
                    <w:t>产生量</w:t>
                  </w:r>
                </w:p>
              </w:tc>
              <w:tc>
                <w:tcPr>
                  <w:tcW w:w="3788" w:type="dxa"/>
                  <w:gridSpan w:val="3"/>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r>
                    <w:rPr>
                      <w:rFonts w:ascii="Times New Roman" w:hAnsi="Times New Roman" w:cs="Times New Roman"/>
                      <w:color w:val="auto"/>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320"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591" w:type="dxa"/>
                  <w:vMerge w:val="continue"/>
                  <w:tcMar>
                    <w:left w:w="11" w:type="dxa"/>
                    <w:right w:w="11" w:type="dxa"/>
                  </w:tcMar>
                  <w:vAlign w:val="center"/>
                </w:tcPr>
                <w:p>
                  <w:pPr>
                    <w:pStyle w:val="54"/>
                    <w:spacing w:beforeLines="0" w:afterLines="0" w:line="240" w:lineRule="exact"/>
                    <w:rPr>
                      <w:rFonts w:ascii="Times New Roman" w:hAnsi="Times New Roman" w:cs="Times New Roman"/>
                      <w:color w:val="auto"/>
                      <w:szCs w:val="21"/>
                    </w:rPr>
                  </w:pPr>
                </w:p>
              </w:tc>
              <w:tc>
                <w:tcPr>
                  <w:tcW w:w="1128" w:type="dxa"/>
                  <w:tcMar>
                    <w:left w:w="11" w:type="dxa"/>
                    <w:right w:w="11" w:type="dxa"/>
                  </w:tcMar>
                  <w:vAlign w:val="center"/>
                </w:tcPr>
                <w:p>
                  <w:pPr>
                    <w:adjustRightInd w:val="0"/>
                    <w:snapToGrid w:val="0"/>
                    <w:spacing w:line="240" w:lineRule="exact"/>
                    <w:jc w:val="center"/>
                    <w:rPr>
                      <w:color w:val="auto"/>
                      <w:szCs w:val="21"/>
                    </w:rPr>
                  </w:pPr>
                  <w:r>
                    <w:rPr>
                      <w:color w:val="auto"/>
                      <w:szCs w:val="21"/>
                    </w:rPr>
                    <w:t>生活垃圾</w:t>
                  </w:r>
                </w:p>
              </w:tc>
              <w:tc>
                <w:tcPr>
                  <w:tcW w:w="2231" w:type="dxa"/>
                  <w:gridSpan w:val="2"/>
                  <w:tcMar>
                    <w:left w:w="11" w:type="dxa"/>
                    <w:right w:w="11" w:type="dxa"/>
                  </w:tcMar>
                  <w:vAlign w:val="center"/>
                </w:tcPr>
                <w:p>
                  <w:pPr>
                    <w:adjustRightInd w:val="0"/>
                    <w:snapToGrid w:val="0"/>
                    <w:spacing w:line="240" w:lineRule="exact"/>
                    <w:jc w:val="center"/>
                    <w:rPr>
                      <w:color w:val="auto"/>
                      <w:szCs w:val="21"/>
                    </w:rPr>
                  </w:pPr>
                  <w:r>
                    <w:rPr>
                      <w:rFonts w:hint="eastAsia"/>
                      <w:color w:val="auto"/>
                      <w:szCs w:val="21"/>
                    </w:rPr>
                    <w:t>1.82</w:t>
                  </w:r>
                  <w:r>
                    <w:rPr>
                      <w:color w:val="auto"/>
                      <w:szCs w:val="21"/>
                    </w:rPr>
                    <w:t>t/a</w:t>
                  </w:r>
                </w:p>
              </w:tc>
              <w:tc>
                <w:tcPr>
                  <w:tcW w:w="3788" w:type="dxa"/>
                  <w:gridSpan w:val="3"/>
                  <w:tcMar>
                    <w:left w:w="11" w:type="dxa"/>
                    <w:right w:w="11" w:type="dxa"/>
                  </w:tcMar>
                  <w:vAlign w:val="center"/>
                </w:tcPr>
                <w:p>
                  <w:pPr>
                    <w:adjustRightInd w:val="0"/>
                    <w:snapToGrid w:val="0"/>
                    <w:spacing w:line="240" w:lineRule="exact"/>
                    <w:jc w:val="center"/>
                    <w:rPr>
                      <w:color w:val="auto"/>
                      <w:szCs w:val="21"/>
                    </w:rPr>
                  </w:pPr>
                  <w:r>
                    <w:rPr>
                      <w:color w:val="auto"/>
                      <w:szCs w:val="21"/>
                    </w:rPr>
                    <w:t>统一收集运输至环卫部门指定地点处置</w:t>
                  </w:r>
                </w:p>
              </w:tc>
            </w:tr>
          </w:tbl>
          <w:p>
            <w:pPr>
              <w:pStyle w:val="9"/>
              <w:snapToGrid/>
              <w:spacing w:before="0" w:after="0" w:line="360" w:lineRule="auto"/>
              <w:ind w:right="0" w:firstLine="482" w:firstLineChars="200"/>
              <w:rPr>
                <w:b/>
                <w:bCs/>
                <w:color w:val="auto"/>
                <w:sz w:val="24"/>
                <w:szCs w:val="24"/>
              </w:rPr>
            </w:pPr>
            <w:r>
              <w:rPr>
                <w:rFonts w:hint="eastAsia"/>
                <w:b/>
                <w:bCs/>
                <w:color w:val="auto"/>
                <w:sz w:val="24"/>
                <w:szCs w:val="24"/>
              </w:rPr>
              <w:t>5、存在的环保问题及整改建议</w:t>
            </w:r>
          </w:p>
          <w:p>
            <w:pPr>
              <w:pStyle w:val="9"/>
              <w:spacing w:before="0" w:after="0" w:line="360" w:lineRule="auto"/>
              <w:ind w:firstLine="480" w:firstLineChars="200"/>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rPr>
              <w:t>根据定边采油厂资料和现场踏勘情况可知，</w:t>
            </w:r>
            <w:r>
              <w:rPr>
                <w:rFonts w:hint="eastAsia" w:ascii="Times New Roman" w:hAnsi="Times New Roman" w:eastAsia="宋体" w:cs="Times New Roman"/>
                <w:color w:val="auto"/>
                <w:kern w:val="2"/>
                <w:sz w:val="24"/>
                <w:szCs w:val="24"/>
                <w:lang w:val="en-US" w:eastAsia="zh-CN"/>
              </w:rPr>
              <w:t>本项目现状可能</w:t>
            </w:r>
            <w:r>
              <w:rPr>
                <w:rFonts w:hint="eastAsia" w:ascii="Times New Roman" w:hAnsi="Times New Roman" w:eastAsia="宋体" w:cs="Times New Roman"/>
                <w:color w:val="auto"/>
                <w:kern w:val="2"/>
                <w:sz w:val="24"/>
                <w:szCs w:val="24"/>
              </w:rPr>
              <w:t>存在的环保问题</w:t>
            </w:r>
            <w:r>
              <w:rPr>
                <w:rFonts w:hint="eastAsia" w:ascii="Times New Roman" w:hAnsi="Times New Roman" w:eastAsia="宋体" w:cs="Times New Roman"/>
                <w:color w:val="auto"/>
                <w:kern w:val="2"/>
                <w:sz w:val="24"/>
                <w:szCs w:val="24"/>
                <w:lang w:val="en-US" w:eastAsia="zh-CN"/>
              </w:rPr>
              <w:t>主要为</w:t>
            </w:r>
            <w:r>
              <w:rPr>
                <w:rFonts w:hint="eastAsia" w:ascii="Times New Roman" w:hAnsi="Times New Roman" w:eastAsia="宋体" w:cs="Times New Roman"/>
                <w:color w:val="auto"/>
                <w:kern w:val="2"/>
                <w:sz w:val="24"/>
                <w:szCs w:val="24"/>
              </w:rPr>
              <w:t>拟建厂址</w:t>
            </w:r>
            <w:r>
              <w:rPr>
                <w:rFonts w:hint="eastAsia" w:ascii="Times New Roman" w:hAnsi="Times New Roman" w:eastAsia="宋体" w:cs="Times New Roman"/>
                <w:color w:val="auto"/>
                <w:kern w:val="2"/>
                <w:sz w:val="24"/>
                <w:szCs w:val="24"/>
                <w:lang w:val="en-US" w:eastAsia="zh-CN"/>
              </w:rPr>
              <w:t>和依托的</w:t>
            </w:r>
            <w:r>
              <w:rPr>
                <w:rFonts w:hint="eastAsia" w:ascii="Times New Roman" w:hAnsi="Times New Roman" w:eastAsia="宋体" w:cs="Times New Roman"/>
                <w:color w:val="auto"/>
                <w:kern w:val="2"/>
                <w:sz w:val="24"/>
                <w:szCs w:val="24"/>
              </w:rPr>
              <w:t>回注水站</w:t>
            </w:r>
            <w:r>
              <w:rPr>
                <w:rFonts w:hint="eastAsia" w:ascii="Times New Roman" w:hAnsi="Times New Roman" w:eastAsia="宋体" w:cs="Times New Roman"/>
                <w:color w:val="auto"/>
                <w:kern w:val="2"/>
                <w:sz w:val="24"/>
                <w:szCs w:val="24"/>
                <w:lang w:val="en-US" w:eastAsia="zh-CN"/>
              </w:rPr>
              <w:t>问题。</w:t>
            </w:r>
          </w:p>
          <w:p>
            <w:pPr>
              <w:pStyle w:val="9"/>
              <w:spacing w:before="0" w:after="0" w:line="360" w:lineRule="auto"/>
              <w:ind w:firstLine="480" w:firstLineChars="200"/>
              <w:rPr>
                <w:rFonts w:hint="eastAsia" w:eastAsia="宋体"/>
                <w:color w:val="auto"/>
                <w:kern w:val="2"/>
                <w:sz w:val="24"/>
                <w:szCs w:val="24"/>
                <w:lang w:val="en-US" w:eastAsia="zh-CN"/>
              </w:rPr>
            </w:pPr>
            <w:r>
              <w:rPr>
                <w:rFonts w:hint="eastAsia"/>
                <w:color w:val="auto"/>
                <w:kern w:val="2"/>
                <w:sz w:val="24"/>
                <w:szCs w:val="24"/>
                <w:lang w:val="en-US" w:eastAsia="zh-CN"/>
              </w:rPr>
              <w:t>①</w:t>
            </w:r>
            <w:r>
              <w:rPr>
                <w:rFonts w:hint="eastAsia" w:ascii="Times New Roman" w:hAnsi="Times New Roman" w:eastAsia="宋体" w:cs="Times New Roman"/>
                <w:color w:val="auto"/>
                <w:kern w:val="2"/>
                <w:sz w:val="24"/>
                <w:szCs w:val="24"/>
              </w:rPr>
              <w:t>拟建厂址</w:t>
            </w:r>
            <w:r>
              <w:rPr>
                <w:rFonts w:hint="eastAsia" w:ascii="Times New Roman" w:hAnsi="Times New Roman" w:eastAsia="宋体" w:cs="Times New Roman"/>
                <w:color w:val="auto"/>
                <w:kern w:val="2"/>
                <w:sz w:val="24"/>
                <w:szCs w:val="24"/>
                <w:lang w:val="en-US" w:eastAsia="zh-CN"/>
              </w:rPr>
              <w:t>环保问题</w:t>
            </w:r>
          </w:p>
          <w:p>
            <w:pPr>
              <w:pStyle w:val="9"/>
              <w:spacing w:before="0" w:after="0" w:line="360" w:lineRule="auto"/>
              <w:ind w:firstLine="480" w:firstLineChars="200"/>
              <w:rPr>
                <w:color w:val="auto"/>
                <w:kern w:val="2"/>
                <w:sz w:val="24"/>
                <w:szCs w:val="24"/>
              </w:rPr>
            </w:pPr>
            <w:r>
              <w:rPr>
                <w:rFonts w:hint="eastAsia"/>
                <w:color w:val="auto"/>
                <w:kern w:val="2"/>
                <w:sz w:val="24"/>
                <w:szCs w:val="24"/>
              </w:rPr>
              <w:t>污水处理站拟建厂址内主要环保问题为已废弃的公辅设施尚未拆除，存在一定的环境污染隐患。</w:t>
            </w:r>
          </w:p>
          <w:p>
            <w:pPr>
              <w:pStyle w:val="9"/>
              <w:spacing w:before="0" w:after="0" w:line="360" w:lineRule="auto"/>
              <w:ind w:firstLine="480" w:firstLineChars="200"/>
              <w:rPr>
                <w:color w:val="auto"/>
                <w:kern w:val="2"/>
                <w:sz w:val="24"/>
                <w:szCs w:val="24"/>
              </w:rPr>
            </w:pPr>
            <w:r>
              <w:rPr>
                <w:rFonts w:hint="eastAsia"/>
                <w:color w:val="auto"/>
                <w:kern w:val="2"/>
                <w:sz w:val="24"/>
                <w:szCs w:val="24"/>
              </w:rPr>
              <w:t>拟建厂址整改建议如下：</w:t>
            </w:r>
          </w:p>
          <w:p>
            <w:pPr>
              <w:pStyle w:val="9"/>
              <w:spacing w:before="0" w:after="0" w:line="360" w:lineRule="auto"/>
              <w:ind w:firstLine="480" w:firstLineChars="200"/>
              <w:rPr>
                <w:color w:val="auto"/>
                <w:kern w:val="2"/>
                <w:sz w:val="24"/>
                <w:szCs w:val="24"/>
              </w:rPr>
            </w:pPr>
            <w:r>
              <w:rPr>
                <w:rFonts w:hint="eastAsia"/>
                <w:color w:val="auto"/>
                <w:kern w:val="2"/>
                <w:sz w:val="24"/>
                <w:szCs w:val="24"/>
              </w:rPr>
              <w:t>2511站：尽快将废弃的采油井装置、电线杆、生活区砖房拆除，将废弃的泥浆坑、雨水池拆除并恢复场平。</w:t>
            </w:r>
          </w:p>
          <w:p>
            <w:pPr>
              <w:pStyle w:val="9"/>
              <w:spacing w:before="0" w:after="0" w:line="360" w:lineRule="auto"/>
              <w:ind w:firstLine="480" w:firstLineChars="200"/>
              <w:rPr>
                <w:color w:val="auto"/>
                <w:kern w:val="2"/>
                <w:sz w:val="24"/>
                <w:szCs w:val="24"/>
              </w:rPr>
            </w:pPr>
            <w:r>
              <w:rPr>
                <w:rFonts w:hint="eastAsia"/>
                <w:color w:val="auto"/>
                <w:kern w:val="2"/>
                <w:sz w:val="24"/>
                <w:szCs w:val="24"/>
              </w:rPr>
              <w:t>3270站：尽快将废弃的采油井装置、计量间、工具间、生活区砖房拆除，将废弃的煤池拆除并恢复场平。</w:t>
            </w:r>
          </w:p>
          <w:p>
            <w:pPr>
              <w:pStyle w:val="9"/>
              <w:spacing w:before="0" w:after="0" w:line="360" w:lineRule="auto"/>
              <w:ind w:firstLine="480" w:firstLineChars="200"/>
              <w:rPr>
                <w:color w:val="auto"/>
                <w:kern w:val="2"/>
                <w:sz w:val="24"/>
                <w:szCs w:val="24"/>
              </w:rPr>
            </w:pPr>
            <w:r>
              <w:rPr>
                <w:rFonts w:hint="eastAsia"/>
                <w:color w:val="auto"/>
                <w:kern w:val="2"/>
                <w:sz w:val="24"/>
                <w:szCs w:val="24"/>
              </w:rPr>
              <w:t>4926-4站：尽快将废弃的柴油发电机、工具间拆除。</w:t>
            </w:r>
          </w:p>
          <w:p>
            <w:pPr>
              <w:pStyle w:val="9"/>
              <w:spacing w:before="0" w:after="0" w:line="360" w:lineRule="auto"/>
              <w:ind w:firstLine="480" w:firstLineChars="200"/>
              <w:rPr>
                <w:color w:val="auto"/>
                <w:kern w:val="2"/>
                <w:sz w:val="24"/>
                <w:szCs w:val="24"/>
              </w:rPr>
            </w:pPr>
            <w:r>
              <w:rPr>
                <w:rFonts w:hint="eastAsia"/>
                <w:color w:val="auto"/>
                <w:kern w:val="2"/>
                <w:sz w:val="24"/>
                <w:szCs w:val="24"/>
              </w:rPr>
              <w:t>上述拆除工程产生的建筑垃圾全部送建筑垃圾填埋场，污油泥等危险废物送有资质单位处置。存在的环保问题及整改见表2-19。</w:t>
            </w:r>
          </w:p>
          <w:p>
            <w:pPr>
              <w:pStyle w:val="9"/>
              <w:snapToGrid/>
              <w:spacing w:before="0" w:after="0" w:line="360" w:lineRule="auto"/>
              <w:ind w:right="0" w:firstLine="0" w:firstLineChars="0"/>
              <w:jc w:val="center"/>
              <w:rPr>
                <w:b/>
                <w:bCs/>
                <w:color w:val="auto"/>
                <w:sz w:val="24"/>
                <w:szCs w:val="24"/>
              </w:rPr>
            </w:pPr>
            <w:r>
              <w:rPr>
                <w:rFonts w:hint="eastAsia" w:ascii="黑体" w:hAnsi="黑体" w:eastAsia="黑体" w:cs="黑体"/>
                <w:color w:val="auto"/>
                <w:sz w:val="21"/>
                <w:szCs w:val="21"/>
              </w:rPr>
              <w:t>表2-19  存在的环保问题及整改一览表</w:t>
            </w:r>
          </w:p>
          <w:tbl>
            <w:tblPr>
              <w:tblStyle w:val="35"/>
              <w:tblW w:w="81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3083"/>
              <w:gridCol w:w="3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pPr>
                    <w:widowControl/>
                    <w:adjustRightInd w:val="0"/>
                    <w:snapToGrid w:val="0"/>
                    <w:jc w:val="center"/>
                    <w:textAlignment w:val="center"/>
                    <w:rPr>
                      <w:color w:val="auto"/>
                      <w:kern w:val="0"/>
                      <w:szCs w:val="21"/>
                    </w:rPr>
                  </w:pPr>
                  <w:r>
                    <w:rPr>
                      <w:rFonts w:hint="eastAsia"/>
                      <w:color w:val="auto"/>
                      <w:kern w:val="0"/>
                      <w:szCs w:val="21"/>
                    </w:rPr>
                    <w:t>名称</w:t>
                  </w:r>
                </w:p>
              </w:tc>
              <w:tc>
                <w:tcPr>
                  <w:tcW w:w="3083" w:type="dxa"/>
                  <w:vAlign w:val="center"/>
                </w:tcPr>
                <w:p>
                  <w:pPr>
                    <w:widowControl/>
                    <w:adjustRightInd w:val="0"/>
                    <w:snapToGrid w:val="0"/>
                    <w:jc w:val="center"/>
                    <w:textAlignment w:val="center"/>
                    <w:rPr>
                      <w:color w:val="auto"/>
                      <w:kern w:val="0"/>
                      <w:szCs w:val="21"/>
                    </w:rPr>
                  </w:pPr>
                  <w:r>
                    <w:rPr>
                      <w:rFonts w:hint="eastAsia"/>
                      <w:color w:val="auto"/>
                      <w:kern w:val="0"/>
                      <w:szCs w:val="21"/>
                    </w:rPr>
                    <w:t>问题</w:t>
                  </w:r>
                </w:p>
              </w:tc>
              <w:tc>
                <w:tcPr>
                  <w:tcW w:w="3864" w:type="dxa"/>
                  <w:vAlign w:val="center"/>
                </w:tcPr>
                <w:p>
                  <w:pPr>
                    <w:widowControl/>
                    <w:adjustRightInd w:val="0"/>
                    <w:snapToGrid w:val="0"/>
                    <w:jc w:val="center"/>
                    <w:textAlignment w:val="center"/>
                    <w:rPr>
                      <w:color w:val="auto"/>
                      <w:kern w:val="0"/>
                      <w:szCs w:val="21"/>
                    </w:rPr>
                  </w:pPr>
                  <w:r>
                    <w:rPr>
                      <w:rFonts w:hint="eastAsia"/>
                      <w:color w:val="auto"/>
                      <w:kern w:val="0"/>
                      <w:szCs w:val="21"/>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pPr>
                    <w:widowControl/>
                    <w:adjustRightInd w:val="0"/>
                    <w:snapToGrid w:val="0"/>
                    <w:jc w:val="center"/>
                    <w:textAlignment w:val="center"/>
                    <w:rPr>
                      <w:color w:val="auto"/>
                      <w:szCs w:val="21"/>
                    </w:rPr>
                  </w:pPr>
                  <w:r>
                    <w:rPr>
                      <w:rFonts w:hint="eastAsia"/>
                      <w:color w:val="auto"/>
                      <w:szCs w:val="21"/>
                    </w:rPr>
                    <w:t>2511站</w:t>
                  </w:r>
                </w:p>
              </w:tc>
              <w:tc>
                <w:tcPr>
                  <w:tcW w:w="3083" w:type="dxa"/>
                  <w:vAlign w:val="center"/>
                </w:tcPr>
                <w:p>
                  <w:pPr>
                    <w:widowControl/>
                    <w:adjustRightInd w:val="0"/>
                    <w:snapToGrid w:val="0"/>
                    <w:jc w:val="center"/>
                    <w:textAlignment w:val="center"/>
                    <w:rPr>
                      <w:color w:val="auto"/>
                      <w:szCs w:val="21"/>
                    </w:rPr>
                  </w:pPr>
                  <w:r>
                    <w:rPr>
                      <w:rFonts w:hint="eastAsia"/>
                      <w:color w:val="auto"/>
                      <w:szCs w:val="21"/>
                    </w:rPr>
                    <w:t>采油井装置、电线杆、生活区砖房、泥浆坑、雨水池废弃但尚未拆除</w:t>
                  </w:r>
                </w:p>
              </w:tc>
              <w:tc>
                <w:tcPr>
                  <w:tcW w:w="3864" w:type="dxa"/>
                  <w:vAlign w:val="center"/>
                </w:tcPr>
                <w:p>
                  <w:pPr>
                    <w:widowControl/>
                    <w:adjustRightInd w:val="0"/>
                    <w:snapToGrid w:val="0"/>
                    <w:jc w:val="center"/>
                    <w:textAlignment w:val="center"/>
                    <w:rPr>
                      <w:color w:val="auto"/>
                      <w:szCs w:val="21"/>
                    </w:rPr>
                  </w:pPr>
                  <w:r>
                    <w:rPr>
                      <w:rFonts w:hint="eastAsia"/>
                      <w:color w:val="auto"/>
                      <w:szCs w:val="21"/>
                    </w:rPr>
                    <w:t>尽快将废弃的采油井装置、电线杆、生活区砖房拆除，将废弃的泥浆坑、雨水池拆除并恢复场平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pPr>
                    <w:widowControl/>
                    <w:adjustRightInd w:val="0"/>
                    <w:snapToGrid w:val="0"/>
                    <w:jc w:val="center"/>
                    <w:textAlignment w:val="center"/>
                    <w:rPr>
                      <w:color w:val="auto"/>
                      <w:szCs w:val="21"/>
                    </w:rPr>
                  </w:pPr>
                  <w:r>
                    <w:rPr>
                      <w:rFonts w:hint="eastAsia"/>
                      <w:color w:val="auto"/>
                      <w:szCs w:val="21"/>
                    </w:rPr>
                    <w:t>3270站</w:t>
                  </w:r>
                </w:p>
              </w:tc>
              <w:tc>
                <w:tcPr>
                  <w:tcW w:w="3083" w:type="dxa"/>
                  <w:vAlign w:val="center"/>
                </w:tcPr>
                <w:p>
                  <w:pPr>
                    <w:widowControl/>
                    <w:adjustRightInd w:val="0"/>
                    <w:snapToGrid w:val="0"/>
                    <w:jc w:val="center"/>
                    <w:textAlignment w:val="center"/>
                    <w:rPr>
                      <w:color w:val="auto"/>
                      <w:szCs w:val="21"/>
                    </w:rPr>
                  </w:pPr>
                  <w:r>
                    <w:rPr>
                      <w:rFonts w:hint="eastAsia"/>
                      <w:color w:val="auto"/>
                      <w:szCs w:val="21"/>
                    </w:rPr>
                    <w:t>采油井装置、计量间、工具间、生活区砖房、煤池废弃但尚未拆除</w:t>
                  </w:r>
                </w:p>
              </w:tc>
              <w:tc>
                <w:tcPr>
                  <w:tcW w:w="3864" w:type="dxa"/>
                  <w:vAlign w:val="center"/>
                </w:tcPr>
                <w:p>
                  <w:pPr>
                    <w:widowControl/>
                    <w:adjustRightInd w:val="0"/>
                    <w:snapToGrid w:val="0"/>
                    <w:jc w:val="center"/>
                    <w:textAlignment w:val="center"/>
                    <w:rPr>
                      <w:color w:val="auto"/>
                      <w:szCs w:val="21"/>
                    </w:rPr>
                  </w:pPr>
                  <w:r>
                    <w:rPr>
                      <w:rFonts w:hint="eastAsia"/>
                      <w:color w:val="auto"/>
                      <w:szCs w:val="21"/>
                    </w:rPr>
                    <w:t>尽快将废弃的采油井装置、计量间、工具间、生活区砖房拆除，将废弃的煤池拆除并恢复场平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pPr>
                    <w:widowControl/>
                    <w:adjustRightInd w:val="0"/>
                    <w:snapToGrid w:val="0"/>
                    <w:jc w:val="center"/>
                    <w:textAlignment w:val="center"/>
                    <w:rPr>
                      <w:color w:val="auto"/>
                      <w:szCs w:val="21"/>
                    </w:rPr>
                  </w:pPr>
                  <w:r>
                    <w:rPr>
                      <w:rFonts w:hint="eastAsia"/>
                      <w:color w:val="auto"/>
                      <w:szCs w:val="21"/>
                    </w:rPr>
                    <w:t>4926-4站</w:t>
                  </w:r>
                </w:p>
              </w:tc>
              <w:tc>
                <w:tcPr>
                  <w:tcW w:w="3083" w:type="dxa"/>
                  <w:vAlign w:val="center"/>
                </w:tcPr>
                <w:p>
                  <w:pPr>
                    <w:widowControl/>
                    <w:adjustRightInd w:val="0"/>
                    <w:snapToGrid w:val="0"/>
                    <w:jc w:val="center"/>
                    <w:textAlignment w:val="center"/>
                    <w:rPr>
                      <w:color w:val="auto"/>
                      <w:szCs w:val="21"/>
                    </w:rPr>
                  </w:pPr>
                  <w:r>
                    <w:rPr>
                      <w:rFonts w:hint="eastAsia"/>
                      <w:color w:val="auto"/>
                      <w:szCs w:val="21"/>
                    </w:rPr>
                    <w:t>柴油发电机、工具间废弃但尚未拆除</w:t>
                  </w:r>
                </w:p>
              </w:tc>
              <w:tc>
                <w:tcPr>
                  <w:tcW w:w="3864" w:type="dxa"/>
                  <w:vAlign w:val="center"/>
                </w:tcPr>
                <w:p>
                  <w:pPr>
                    <w:widowControl/>
                    <w:adjustRightInd w:val="0"/>
                    <w:snapToGrid w:val="0"/>
                    <w:jc w:val="center"/>
                    <w:textAlignment w:val="center"/>
                    <w:rPr>
                      <w:color w:val="auto"/>
                      <w:szCs w:val="21"/>
                    </w:rPr>
                  </w:pPr>
                  <w:r>
                    <w:rPr>
                      <w:rFonts w:hint="eastAsia"/>
                      <w:color w:val="auto"/>
                      <w:szCs w:val="21"/>
                    </w:rPr>
                    <w:t>尽快将废弃的柴油发电机、工具间拆除</w:t>
                  </w:r>
                </w:p>
              </w:tc>
            </w:tr>
          </w:tbl>
          <w:p>
            <w:pPr>
              <w:pStyle w:val="9"/>
              <w:spacing w:before="0" w:after="0" w:line="360" w:lineRule="auto"/>
              <w:ind w:firstLine="480" w:firstLineChars="200"/>
              <w:rPr>
                <w:rFonts w:hint="eastAsia"/>
                <w:color w:val="auto"/>
                <w:kern w:val="2"/>
                <w:sz w:val="24"/>
                <w:szCs w:val="24"/>
              </w:rPr>
            </w:pPr>
            <w:r>
              <w:rPr>
                <w:rFonts w:hint="eastAsia"/>
                <w:color w:val="auto"/>
                <w:kern w:val="2"/>
                <w:sz w:val="24"/>
                <w:szCs w:val="24"/>
                <w:lang w:val="en-US" w:eastAsia="zh-CN"/>
              </w:rPr>
              <w:t>②依托</w:t>
            </w:r>
            <w:r>
              <w:rPr>
                <w:rFonts w:hint="eastAsia"/>
                <w:color w:val="auto"/>
                <w:kern w:val="2"/>
                <w:sz w:val="24"/>
                <w:szCs w:val="24"/>
              </w:rPr>
              <w:t>回注</w:t>
            </w:r>
            <w:r>
              <w:rPr>
                <w:rFonts w:hint="eastAsia"/>
                <w:color w:val="auto"/>
                <w:kern w:val="2"/>
                <w:sz w:val="24"/>
                <w:szCs w:val="24"/>
                <w:lang w:val="en-US" w:eastAsia="zh-CN"/>
              </w:rPr>
              <w:t>水站环保</w:t>
            </w:r>
            <w:r>
              <w:rPr>
                <w:rFonts w:hint="eastAsia" w:ascii="Times New Roman" w:hAnsi="Times New Roman" w:eastAsia="宋体" w:cs="Times New Roman"/>
                <w:color w:val="auto"/>
                <w:kern w:val="2"/>
                <w:sz w:val="24"/>
                <w:szCs w:val="24"/>
                <w:lang w:val="en-US" w:eastAsia="zh-CN"/>
              </w:rPr>
              <w:t>问题</w:t>
            </w:r>
          </w:p>
          <w:p>
            <w:pPr>
              <w:pStyle w:val="9"/>
              <w:spacing w:before="0" w:after="0" w:line="360" w:lineRule="auto"/>
              <w:ind w:firstLine="480" w:firstLineChars="200"/>
              <w:rPr>
                <w:rFonts w:hint="eastAsia"/>
                <w:color w:val="auto"/>
                <w:kern w:val="2"/>
                <w:sz w:val="24"/>
                <w:szCs w:val="24"/>
              </w:rPr>
            </w:pPr>
            <w:r>
              <w:rPr>
                <w:rFonts w:hint="eastAsia"/>
                <w:color w:val="auto"/>
                <w:kern w:val="2"/>
                <w:sz w:val="24"/>
                <w:szCs w:val="24"/>
              </w:rPr>
              <w:t>依托的回注</w:t>
            </w:r>
            <w:r>
              <w:rPr>
                <w:rFonts w:hint="eastAsia" w:ascii="Times New Roman" w:hAnsi="Times New Roman" w:eastAsia="宋体" w:cs="Times New Roman"/>
                <w:color w:val="auto"/>
                <w:kern w:val="2"/>
                <w:sz w:val="24"/>
                <w:szCs w:val="24"/>
              </w:rPr>
              <w:t>水站</w:t>
            </w:r>
            <w:r>
              <w:rPr>
                <w:rFonts w:hint="eastAsia"/>
                <w:color w:val="auto"/>
                <w:kern w:val="2"/>
                <w:sz w:val="24"/>
                <w:szCs w:val="24"/>
              </w:rPr>
              <w:t>目前运行较正常，依托的站场及回注井的地下水监测井符合相关要求</w:t>
            </w:r>
            <w:r>
              <w:rPr>
                <w:rFonts w:hint="eastAsia"/>
                <w:color w:val="auto"/>
                <w:kern w:val="2"/>
                <w:sz w:val="24"/>
                <w:szCs w:val="24"/>
                <w:lang w:val="en-US" w:eastAsia="zh-CN"/>
              </w:rPr>
              <w:t>。</w:t>
            </w:r>
            <w:r>
              <w:rPr>
                <w:rFonts w:hint="eastAsia" w:ascii="Times New Roman" w:hAnsi="Times New Roman" w:eastAsia="宋体" w:cs="Times New Roman"/>
                <w:color w:val="auto"/>
                <w:kern w:val="2"/>
                <w:sz w:val="24"/>
                <w:szCs w:val="24"/>
              </w:rPr>
              <w:t>回注水站</w:t>
            </w:r>
            <w:r>
              <w:rPr>
                <w:rFonts w:hint="eastAsia"/>
                <w:color w:val="auto"/>
                <w:kern w:val="2"/>
                <w:sz w:val="24"/>
                <w:szCs w:val="24"/>
              </w:rPr>
              <w:t>运行过程中持续对回注井口压力、套管压力、环空压力、回注流体的流量、水质等指标进行监测。定期开展套管腐蚀和水泥环状况检测，新启用或检维修后初次启用的回注井运行前进行井筒完整性测试，检测发现井筒完整性失效立即停止回注。</w:t>
            </w:r>
          </w:p>
          <w:p>
            <w:pPr>
              <w:pStyle w:val="9"/>
              <w:snapToGrid/>
              <w:spacing w:before="0" w:after="0" w:line="360" w:lineRule="auto"/>
              <w:ind w:right="0" w:firstLine="482" w:firstLineChars="200"/>
              <w:rPr>
                <w:b/>
                <w:bCs/>
                <w:color w:val="auto"/>
                <w:sz w:val="24"/>
                <w:szCs w:val="24"/>
              </w:rPr>
            </w:pPr>
            <w:r>
              <w:rPr>
                <w:rFonts w:hint="eastAsia"/>
                <w:b/>
                <w:bCs/>
                <w:color w:val="auto"/>
                <w:sz w:val="24"/>
                <w:szCs w:val="24"/>
              </w:rPr>
              <w:t>6、现有采出水处理系统与本项目衔接</w:t>
            </w:r>
          </w:p>
          <w:p>
            <w:pPr>
              <w:pStyle w:val="9"/>
              <w:spacing w:before="0" w:after="0" w:line="360" w:lineRule="auto"/>
              <w:ind w:firstLine="480" w:firstLineChars="200"/>
              <w:rPr>
                <w:color w:val="auto"/>
                <w:kern w:val="2"/>
                <w:sz w:val="24"/>
                <w:szCs w:val="24"/>
              </w:rPr>
            </w:pPr>
            <w:r>
              <w:rPr>
                <w:rFonts w:hint="eastAsia"/>
                <w:color w:val="auto"/>
                <w:kern w:val="2"/>
                <w:sz w:val="24"/>
                <w:szCs w:val="24"/>
              </w:rPr>
              <w:t>根据定边采油厂产能环评等资料，各区块站场均依托区块内采出水处理站处理，同一区块开采层位基本相同，因此同一区块采出水处理站处理水质也基本相同。依托和新建的采出水处理站总规模达到20720m</w:t>
            </w:r>
            <w:r>
              <w:rPr>
                <w:rFonts w:hint="eastAsia"/>
                <w:color w:val="auto"/>
                <w:kern w:val="2"/>
                <w:sz w:val="24"/>
                <w:szCs w:val="24"/>
                <w:vertAlign w:val="superscript"/>
              </w:rPr>
              <w:t>3</w:t>
            </w:r>
            <w:r>
              <w:rPr>
                <w:rFonts w:hint="eastAsia"/>
                <w:color w:val="auto"/>
                <w:kern w:val="2"/>
                <w:sz w:val="24"/>
                <w:szCs w:val="24"/>
              </w:rPr>
              <w:t>/d，现有工程实际采出水量为11037m</w:t>
            </w:r>
            <w:r>
              <w:rPr>
                <w:rFonts w:hint="eastAsia"/>
                <w:color w:val="auto"/>
                <w:kern w:val="2"/>
                <w:sz w:val="24"/>
                <w:szCs w:val="24"/>
                <w:vertAlign w:val="superscript"/>
              </w:rPr>
              <w:t>3</w:t>
            </w:r>
            <w:r>
              <w:rPr>
                <w:rFonts w:hint="eastAsia"/>
                <w:color w:val="auto"/>
                <w:kern w:val="2"/>
                <w:sz w:val="24"/>
                <w:szCs w:val="24"/>
              </w:rPr>
              <w:t>/d，在建的50万吨/年产能项目采出水量为2054.8m</w:t>
            </w:r>
            <w:r>
              <w:rPr>
                <w:rFonts w:hint="eastAsia"/>
                <w:color w:val="auto"/>
                <w:kern w:val="2"/>
                <w:sz w:val="24"/>
                <w:szCs w:val="24"/>
                <w:vertAlign w:val="superscript"/>
              </w:rPr>
              <w:t>3</w:t>
            </w:r>
            <w:r>
              <w:rPr>
                <w:rFonts w:hint="eastAsia"/>
                <w:color w:val="auto"/>
                <w:kern w:val="2"/>
                <w:sz w:val="24"/>
                <w:szCs w:val="24"/>
              </w:rPr>
              <w:t>/d，总量为13091.8m</w:t>
            </w:r>
            <w:r>
              <w:rPr>
                <w:rFonts w:hint="eastAsia"/>
                <w:color w:val="auto"/>
                <w:kern w:val="2"/>
                <w:sz w:val="24"/>
                <w:szCs w:val="24"/>
                <w:vertAlign w:val="superscript"/>
              </w:rPr>
              <w:t>3</w:t>
            </w:r>
            <w:r>
              <w:rPr>
                <w:rFonts w:hint="eastAsia"/>
                <w:color w:val="auto"/>
                <w:kern w:val="2"/>
                <w:sz w:val="24"/>
                <w:szCs w:val="24"/>
              </w:rPr>
              <w:t>/d，剩余处理能力为7628.2m</w:t>
            </w:r>
            <w:r>
              <w:rPr>
                <w:rFonts w:hint="eastAsia"/>
                <w:color w:val="auto"/>
                <w:kern w:val="2"/>
                <w:sz w:val="24"/>
                <w:szCs w:val="24"/>
                <w:vertAlign w:val="superscript"/>
              </w:rPr>
              <w:t>3</w:t>
            </w:r>
            <w:r>
              <w:rPr>
                <w:rFonts w:hint="eastAsia"/>
                <w:color w:val="auto"/>
                <w:kern w:val="2"/>
                <w:sz w:val="24"/>
                <w:szCs w:val="24"/>
              </w:rPr>
              <w:t>/d。</w:t>
            </w:r>
          </w:p>
          <w:p>
            <w:pPr>
              <w:pStyle w:val="9"/>
              <w:spacing w:before="0" w:after="0" w:line="360" w:lineRule="auto"/>
              <w:ind w:firstLine="480" w:firstLineChars="200"/>
              <w:rPr>
                <w:color w:val="auto"/>
                <w:kern w:val="2"/>
                <w:sz w:val="24"/>
                <w:szCs w:val="24"/>
              </w:rPr>
            </w:pPr>
            <w:r>
              <w:rPr>
                <w:rFonts w:hint="eastAsia"/>
                <w:color w:val="auto"/>
                <w:kern w:val="2"/>
                <w:sz w:val="24"/>
                <w:szCs w:val="24"/>
              </w:rPr>
              <w:t>本项目涉及的3个油区内所有的采出水处理站总规模达到14350m</w:t>
            </w:r>
            <w:r>
              <w:rPr>
                <w:rFonts w:hint="eastAsia"/>
                <w:color w:val="auto"/>
                <w:kern w:val="2"/>
                <w:sz w:val="24"/>
                <w:szCs w:val="24"/>
                <w:vertAlign w:val="superscript"/>
              </w:rPr>
              <w:t>3</w:t>
            </w:r>
            <w:r>
              <w:rPr>
                <w:rFonts w:hint="eastAsia"/>
                <w:color w:val="auto"/>
                <w:kern w:val="2"/>
                <w:sz w:val="24"/>
                <w:szCs w:val="24"/>
              </w:rPr>
              <w:t>/d，现有工程实际采出水量为7272m</w:t>
            </w:r>
            <w:r>
              <w:rPr>
                <w:rFonts w:hint="eastAsia"/>
                <w:color w:val="auto"/>
                <w:kern w:val="2"/>
                <w:sz w:val="24"/>
                <w:szCs w:val="24"/>
                <w:vertAlign w:val="superscript"/>
              </w:rPr>
              <w:t>3</w:t>
            </w:r>
            <w:r>
              <w:rPr>
                <w:rFonts w:hint="eastAsia"/>
                <w:color w:val="auto"/>
                <w:kern w:val="2"/>
                <w:sz w:val="24"/>
                <w:szCs w:val="24"/>
              </w:rPr>
              <w:t>/d，在建的50万吨/年产能项目采出水量为1471.6m</w:t>
            </w:r>
            <w:r>
              <w:rPr>
                <w:rFonts w:hint="eastAsia"/>
                <w:color w:val="auto"/>
                <w:kern w:val="2"/>
                <w:sz w:val="24"/>
                <w:szCs w:val="24"/>
                <w:vertAlign w:val="superscript"/>
              </w:rPr>
              <w:t>3</w:t>
            </w:r>
            <w:r>
              <w:rPr>
                <w:rFonts w:hint="eastAsia"/>
                <w:color w:val="auto"/>
                <w:kern w:val="2"/>
                <w:sz w:val="24"/>
                <w:szCs w:val="24"/>
              </w:rPr>
              <w:t>/d，总量为8743.6m</w:t>
            </w:r>
            <w:r>
              <w:rPr>
                <w:rFonts w:hint="eastAsia"/>
                <w:color w:val="auto"/>
                <w:kern w:val="2"/>
                <w:sz w:val="24"/>
                <w:szCs w:val="24"/>
                <w:vertAlign w:val="superscript"/>
              </w:rPr>
              <w:t>3</w:t>
            </w:r>
            <w:r>
              <w:rPr>
                <w:rFonts w:hint="eastAsia"/>
                <w:color w:val="auto"/>
                <w:kern w:val="2"/>
                <w:sz w:val="24"/>
                <w:szCs w:val="24"/>
              </w:rPr>
              <w:t>/d，剩余处理能力为5606.4m</w:t>
            </w:r>
            <w:r>
              <w:rPr>
                <w:rFonts w:hint="eastAsia"/>
                <w:color w:val="auto"/>
                <w:kern w:val="2"/>
                <w:sz w:val="24"/>
                <w:szCs w:val="24"/>
                <w:vertAlign w:val="superscript"/>
              </w:rPr>
              <w:t>3</w:t>
            </w:r>
            <w:r>
              <w:rPr>
                <w:rFonts w:hint="eastAsia"/>
                <w:color w:val="auto"/>
                <w:kern w:val="2"/>
                <w:sz w:val="24"/>
                <w:szCs w:val="24"/>
              </w:rPr>
              <w:t>/d。</w:t>
            </w:r>
          </w:p>
          <w:p>
            <w:pPr>
              <w:pStyle w:val="9"/>
              <w:spacing w:before="0" w:after="0" w:line="360" w:lineRule="auto"/>
              <w:ind w:firstLine="480" w:firstLineChars="200"/>
              <w:rPr>
                <w:color w:val="auto"/>
                <w:kern w:val="2"/>
                <w:sz w:val="24"/>
                <w:szCs w:val="24"/>
              </w:rPr>
            </w:pPr>
            <w:r>
              <w:rPr>
                <w:rFonts w:hint="eastAsia"/>
                <w:color w:val="auto"/>
                <w:kern w:val="2"/>
                <w:sz w:val="24"/>
                <w:szCs w:val="24"/>
              </w:rPr>
              <w:t>虽然定边采油厂采出水处理系统处理规模较大，但部分站场距离采出水处理站较远，因拉运距离远，水处理费用居高不下，为了降低拉运费用，实现降本增效，故本次拟在采出水较多的区域且拉运距离较远的区域新建采出水处理站。</w:t>
            </w:r>
          </w:p>
          <w:p>
            <w:pPr>
              <w:pStyle w:val="9"/>
              <w:spacing w:before="0" w:after="0" w:line="360" w:lineRule="auto"/>
              <w:ind w:firstLine="480" w:firstLineChars="200"/>
              <w:rPr>
                <w:color w:val="auto"/>
                <w:kern w:val="2"/>
                <w:sz w:val="24"/>
                <w:szCs w:val="24"/>
              </w:rPr>
            </w:pPr>
            <w:r>
              <w:rPr>
                <w:rFonts w:hint="eastAsia"/>
                <w:color w:val="auto"/>
                <w:kern w:val="2"/>
                <w:sz w:val="24"/>
                <w:szCs w:val="24"/>
              </w:rPr>
              <w:t>定边采油厂采出水处理系统的采出水集输方式、集输布局、采出水去向等详见附件</w:t>
            </w:r>
            <w:r>
              <w:rPr>
                <w:rFonts w:hint="eastAsia"/>
                <w:color w:val="auto"/>
                <w:kern w:val="2"/>
                <w:sz w:val="24"/>
                <w:szCs w:val="24"/>
                <w:lang w:val="en-US" w:eastAsia="zh-CN"/>
              </w:rPr>
              <w:t>14</w:t>
            </w:r>
            <w:r>
              <w:rPr>
                <w:rFonts w:hint="eastAsia"/>
                <w:color w:val="auto"/>
                <w:kern w:val="2"/>
                <w:sz w:val="24"/>
                <w:szCs w:val="24"/>
              </w:rPr>
              <w:t>，</w:t>
            </w:r>
            <w:r>
              <w:rPr>
                <w:rFonts w:hint="eastAsia"/>
                <w:color w:val="auto"/>
                <w:kern w:val="2"/>
                <w:sz w:val="24"/>
                <w:szCs w:val="24"/>
                <w:lang w:val="en-US" w:eastAsia="zh-CN"/>
              </w:rPr>
              <w:t>本项目收水范围内</w:t>
            </w:r>
            <w:r>
              <w:rPr>
                <w:rFonts w:hint="eastAsia"/>
                <w:color w:val="auto"/>
                <w:kern w:val="2"/>
                <w:sz w:val="24"/>
                <w:szCs w:val="24"/>
              </w:rPr>
              <w:t>采出水处理</w:t>
            </w:r>
            <w:r>
              <w:rPr>
                <w:rFonts w:hint="eastAsia"/>
                <w:color w:val="auto"/>
                <w:kern w:val="2"/>
                <w:sz w:val="24"/>
                <w:szCs w:val="24"/>
                <w:lang w:val="en-US" w:eastAsia="zh-CN"/>
              </w:rPr>
              <w:t>站</w:t>
            </w:r>
            <w:r>
              <w:rPr>
                <w:rFonts w:hint="eastAsia"/>
                <w:color w:val="auto"/>
                <w:kern w:val="2"/>
                <w:sz w:val="24"/>
                <w:szCs w:val="24"/>
              </w:rPr>
              <w:t>规模见</w:t>
            </w:r>
            <w:r>
              <w:rPr>
                <w:rFonts w:hint="eastAsia"/>
                <w:color w:val="auto"/>
                <w:kern w:val="2"/>
                <w:sz w:val="24"/>
                <w:szCs w:val="24"/>
              </w:rPr>
              <w:t>表2-21。</w:t>
            </w:r>
          </w:p>
          <w:p>
            <w:pPr>
              <w:pStyle w:val="9"/>
              <w:snapToGrid/>
              <w:spacing w:before="0" w:after="0" w:line="360" w:lineRule="auto"/>
              <w:ind w:right="0" w:firstLine="0" w:firstLineChars="0"/>
              <w:jc w:val="center"/>
              <w:rPr>
                <w:b/>
                <w:bCs/>
                <w:color w:val="auto"/>
                <w:sz w:val="24"/>
                <w:szCs w:val="24"/>
              </w:rPr>
            </w:pPr>
            <w:r>
              <w:rPr>
                <w:rFonts w:hint="eastAsia" w:ascii="黑体" w:hAnsi="黑体" w:eastAsia="黑体" w:cs="黑体"/>
                <w:color w:val="auto"/>
                <w:sz w:val="21"/>
                <w:szCs w:val="21"/>
              </w:rPr>
              <w:t xml:space="preserve">表2-21  </w:t>
            </w:r>
            <w:r>
              <w:rPr>
                <w:rFonts w:hint="eastAsia" w:eastAsia="黑体"/>
                <w:bCs/>
                <w:color w:val="auto"/>
                <w:sz w:val="21"/>
                <w:szCs w:val="21"/>
              </w:rPr>
              <w:t>本项目收水范围内采出水处理站规模</w:t>
            </w:r>
            <w:r>
              <w:rPr>
                <w:rFonts w:hint="eastAsia" w:ascii="黑体" w:hAnsi="黑体" w:eastAsia="黑体" w:cs="黑体"/>
                <w:color w:val="auto"/>
                <w:sz w:val="21"/>
                <w:szCs w:val="21"/>
              </w:rPr>
              <w:t>一览表</w:t>
            </w:r>
          </w:p>
          <w:tbl>
            <w:tblPr>
              <w:tblStyle w:val="34"/>
              <w:tblW w:w="5000" w:type="pct"/>
              <w:jc w:val="center"/>
              <w:tblLayout w:type="fixed"/>
              <w:tblCellMar>
                <w:top w:w="0" w:type="dxa"/>
                <w:left w:w="108" w:type="dxa"/>
                <w:bottom w:w="0" w:type="dxa"/>
                <w:right w:w="108" w:type="dxa"/>
              </w:tblCellMar>
            </w:tblPr>
            <w:tblGrid>
              <w:gridCol w:w="423"/>
              <w:gridCol w:w="1573"/>
              <w:gridCol w:w="962"/>
              <w:gridCol w:w="1012"/>
              <w:gridCol w:w="1248"/>
              <w:gridCol w:w="1470"/>
              <w:gridCol w:w="1436"/>
            </w:tblGrid>
            <w:tr>
              <w:tblPrEx>
                <w:tblCellMar>
                  <w:top w:w="0" w:type="dxa"/>
                  <w:left w:w="108" w:type="dxa"/>
                  <w:bottom w:w="0" w:type="dxa"/>
                  <w:right w:w="108" w:type="dxa"/>
                </w:tblCellMar>
              </w:tblPrEx>
              <w:trPr>
                <w:trHeight w:val="312" w:hRule="atLeast"/>
                <w:jc w:val="center"/>
              </w:trPr>
              <w:tc>
                <w:tcPr>
                  <w:tcW w:w="260"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auto"/>
                      <w:szCs w:val="21"/>
                    </w:rPr>
                  </w:pPr>
                  <w:r>
                    <w:rPr>
                      <w:color w:val="auto"/>
                      <w:kern w:val="0"/>
                      <w:szCs w:val="21"/>
                    </w:rPr>
                    <w:t>区块</w:t>
                  </w: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采出水处理点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设计处理规模（m</w:t>
                  </w:r>
                  <w:r>
                    <w:rPr>
                      <w:color w:val="auto"/>
                      <w:kern w:val="0"/>
                      <w:szCs w:val="21"/>
                      <w:vertAlign w:val="superscript"/>
                    </w:rPr>
                    <w:t>3</w:t>
                  </w:r>
                  <w:r>
                    <w:rPr>
                      <w:color w:val="auto"/>
                      <w:kern w:val="0"/>
                      <w:szCs w:val="21"/>
                    </w:rPr>
                    <w:t>/d）</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实际处理规模（m</w:t>
                  </w:r>
                  <w:r>
                    <w:rPr>
                      <w:color w:val="auto"/>
                      <w:kern w:val="0"/>
                      <w:szCs w:val="21"/>
                      <w:vertAlign w:val="superscript"/>
                    </w:rPr>
                    <w:t>3</w:t>
                  </w:r>
                  <w:r>
                    <w:rPr>
                      <w:color w:val="auto"/>
                      <w:kern w:val="0"/>
                      <w:szCs w:val="21"/>
                    </w:rPr>
                    <w:t>/d）</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rFonts w:hint="eastAsia"/>
                      <w:color w:val="auto"/>
                      <w:kern w:val="0"/>
                      <w:szCs w:val="21"/>
                    </w:rPr>
                    <w:t>现</w:t>
                  </w:r>
                  <w:r>
                    <w:rPr>
                      <w:color w:val="auto"/>
                      <w:kern w:val="0"/>
                      <w:szCs w:val="21"/>
                    </w:rPr>
                    <w:t>剩余处理规模（m</w:t>
                  </w:r>
                  <w:r>
                    <w:rPr>
                      <w:color w:val="auto"/>
                      <w:kern w:val="0"/>
                      <w:szCs w:val="21"/>
                      <w:vertAlign w:val="superscript"/>
                    </w:rPr>
                    <w:t>3</w:t>
                  </w:r>
                  <w:r>
                    <w:rPr>
                      <w:color w:val="auto"/>
                      <w:kern w:val="0"/>
                      <w:szCs w:val="21"/>
                    </w:rPr>
                    <w:t>/d）</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rFonts w:hint="eastAsia"/>
                      <w:color w:val="auto"/>
                      <w:kern w:val="0"/>
                      <w:szCs w:val="21"/>
                    </w:rPr>
                    <w:t>在建50万吨/a产能项目</w:t>
                  </w:r>
                  <w:r>
                    <w:rPr>
                      <w:color w:val="auto"/>
                      <w:kern w:val="0"/>
                      <w:szCs w:val="21"/>
                    </w:rPr>
                    <w:t>采出水量（m</w:t>
                  </w:r>
                  <w:r>
                    <w:rPr>
                      <w:color w:val="auto"/>
                      <w:kern w:val="0"/>
                      <w:szCs w:val="21"/>
                      <w:vertAlign w:val="superscript"/>
                    </w:rPr>
                    <w:t>3</w:t>
                  </w:r>
                  <w:r>
                    <w:rPr>
                      <w:color w:val="auto"/>
                      <w:kern w:val="0"/>
                      <w:szCs w:val="21"/>
                    </w:rPr>
                    <w:t>/d）</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rFonts w:hint="eastAsia"/>
                      <w:color w:val="auto"/>
                      <w:kern w:val="0"/>
                      <w:szCs w:val="21"/>
                    </w:rPr>
                    <w:t>近期项目建成后</w:t>
                  </w:r>
                  <w:r>
                    <w:rPr>
                      <w:color w:val="auto"/>
                      <w:kern w:val="0"/>
                      <w:szCs w:val="21"/>
                    </w:rPr>
                    <w:t>剩余处理规模（m</w:t>
                  </w:r>
                  <w:r>
                    <w:rPr>
                      <w:color w:val="auto"/>
                      <w:kern w:val="0"/>
                      <w:szCs w:val="21"/>
                      <w:vertAlign w:val="superscript"/>
                    </w:rPr>
                    <w:t>3</w:t>
                  </w:r>
                  <w:r>
                    <w:rPr>
                      <w:color w:val="auto"/>
                      <w:kern w:val="0"/>
                      <w:szCs w:val="21"/>
                    </w:rPr>
                    <w:t>/d）</w:t>
                  </w:r>
                </w:p>
              </w:tc>
            </w:tr>
            <w:tr>
              <w:tblPrEx>
                <w:tblCellMar>
                  <w:top w:w="0" w:type="dxa"/>
                  <w:left w:w="108" w:type="dxa"/>
                  <w:bottom w:w="0" w:type="dxa"/>
                  <w:right w:w="108" w:type="dxa"/>
                </w:tblCellMar>
              </w:tblPrEx>
              <w:trPr>
                <w:trHeight w:val="312" w:hRule="atLeast"/>
                <w:jc w:val="center"/>
              </w:trPr>
              <w:tc>
                <w:tcPr>
                  <w:tcW w:w="260" w:type="pct"/>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auto"/>
                      <w:szCs w:val="21"/>
                    </w:rPr>
                  </w:pPr>
                  <w:r>
                    <w:rPr>
                      <w:rFonts w:hint="eastAsia"/>
                      <w:color w:val="auto"/>
                      <w:kern w:val="0"/>
                      <w:szCs w:val="21"/>
                    </w:rPr>
                    <w:t>东仁沟采油队韩渠油区</w:t>
                  </w: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1368污水处理点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250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236</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14</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1716污水处理点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360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300</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60</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1766污水处理点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220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145</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75</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1839-5污水处理点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186</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114</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1876污水处理点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360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395</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-35</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2642污水处理点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260</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40</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韩渠集输站</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600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265</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335</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王圈集输站</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1200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682</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518</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尹渠采油站</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172</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128</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张天渠集输站</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1480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320</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1160</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1227"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auto"/>
                      <w:szCs w:val="21"/>
                    </w:rPr>
                  </w:pPr>
                  <w:r>
                    <w:rPr>
                      <w:rFonts w:hint="eastAsia"/>
                      <w:color w:val="auto"/>
                      <w:kern w:val="0"/>
                      <w:szCs w:val="21"/>
                    </w:rPr>
                    <w:t>小</w:t>
                  </w:r>
                  <w:r>
                    <w:rPr>
                      <w:color w:val="auto"/>
                      <w:kern w:val="0"/>
                      <w:szCs w:val="21"/>
                    </w:rPr>
                    <w:t>计</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5370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2961</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2409</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279.4</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rPr>
                    <w:t>2129.6</w:t>
                  </w:r>
                </w:p>
              </w:tc>
            </w:tr>
            <w:tr>
              <w:tblPrEx>
                <w:tblCellMar>
                  <w:top w:w="0" w:type="dxa"/>
                  <w:left w:w="108" w:type="dxa"/>
                  <w:bottom w:w="0" w:type="dxa"/>
                  <w:right w:w="108" w:type="dxa"/>
                </w:tblCellMar>
              </w:tblPrEx>
              <w:trPr>
                <w:trHeight w:val="312" w:hRule="atLeast"/>
                <w:jc w:val="center"/>
              </w:trPr>
              <w:tc>
                <w:tcPr>
                  <w:tcW w:w="260" w:type="pct"/>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auto"/>
                      <w:szCs w:val="21"/>
                    </w:rPr>
                  </w:pPr>
                  <w:r>
                    <w:rPr>
                      <w:rFonts w:hint="eastAsia"/>
                      <w:color w:val="auto"/>
                      <w:kern w:val="0"/>
                      <w:szCs w:val="21"/>
                    </w:rPr>
                    <w:t>五兴庄采油队五兴庄油区</w:t>
                  </w: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3000污水处理点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0</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100</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3008污水处理点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25</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5</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3131污水处理点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41</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259</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3270污水处理点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25</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15</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3276污水处理点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240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200</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40</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卜掌采油站</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137</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163</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五兴庄集输站</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rFonts w:hint="eastAsia"/>
                      <w:color w:val="auto"/>
                      <w:kern w:val="0"/>
                      <w:szCs w:val="21"/>
                    </w:rPr>
                    <w:t>4</w:t>
                  </w:r>
                  <w:r>
                    <w:rPr>
                      <w:color w:val="auto"/>
                      <w:kern w:val="0"/>
                      <w:szCs w:val="21"/>
                    </w:rPr>
                    <w:t>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216</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84</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1227"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auto"/>
                      <w:szCs w:val="21"/>
                    </w:rPr>
                  </w:pPr>
                  <w:r>
                    <w:rPr>
                      <w:rFonts w:hint="eastAsia"/>
                      <w:color w:val="auto"/>
                      <w:kern w:val="0"/>
                      <w:szCs w:val="21"/>
                    </w:rPr>
                    <w:t>小</w:t>
                  </w:r>
                  <w:r>
                    <w:rPr>
                      <w:color w:val="auto"/>
                      <w:kern w:val="0"/>
                      <w:szCs w:val="21"/>
                    </w:rPr>
                    <w:t>计</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w:t>
                  </w:r>
                  <w:r>
                    <w:rPr>
                      <w:rFonts w:hint="eastAsia"/>
                      <w:color w:val="auto"/>
                      <w:kern w:val="0"/>
                      <w:szCs w:val="21"/>
                    </w:rPr>
                    <w:t>4</w:t>
                  </w:r>
                  <w:r>
                    <w:rPr>
                      <w:color w:val="auto"/>
                      <w:kern w:val="0"/>
                      <w:szCs w:val="21"/>
                    </w:rPr>
                    <w:t>10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644</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rFonts w:hint="eastAsia"/>
                      <w:color w:val="auto"/>
                      <w:kern w:val="0"/>
                      <w:szCs w:val="21"/>
                    </w:rPr>
                    <w:t>7</w:t>
                  </w:r>
                  <w:r>
                    <w:rPr>
                      <w:color w:val="auto"/>
                      <w:kern w:val="0"/>
                      <w:szCs w:val="21"/>
                    </w:rPr>
                    <w:t>66</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174.2</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color w:val="auto"/>
                      <w:kern w:val="0"/>
                      <w:szCs w:val="21"/>
                    </w:rPr>
                    <w:t>5</w:t>
                  </w:r>
                  <w:r>
                    <w:rPr>
                      <w:color w:val="auto"/>
                      <w:kern w:val="0"/>
                      <w:szCs w:val="21"/>
                    </w:rPr>
                    <w:t>91.8</w:t>
                  </w:r>
                </w:p>
              </w:tc>
            </w:tr>
            <w:tr>
              <w:tblPrEx>
                <w:tblCellMar>
                  <w:top w:w="0" w:type="dxa"/>
                  <w:left w:w="108" w:type="dxa"/>
                  <w:bottom w:w="0" w:type="dxa"/>
                  <w:right w:w="108" w:type="dxa"/>
                </w:tblCellMar>
              </w:tblPrEx>
              <w:trPr>
                <w:trHeight w:val="312" w:hRule="atLeast"/>
                <w:jc w:val="center"/>
              </w:trPr>
              <w:tc>
                <w:tcPr>
                  <w:tcW w:w="260" w:type="pct"/>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auto"/>
                      <w:szCs w:val="21"/>
                    </w:rPr>
                  </w:pPr>
                  <w:r>
                    <w:rPr>
                      <w:rFonts w:hint="eastAsia"/>
                      <w:color w:val="auto"/>
                      <w:kern w:val="0"/>
                      <w:szCs w:val="21"/>
                    </w:rPr>
                    <w:t>白马崾岘采油队小涧湾油区</w:t>
                  </w: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40094污水处理点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136</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64</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40242污水处理点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192</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8</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4080污水处理点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150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68</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82</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4092污水处理点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136</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64</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4151污水处理点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123</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77</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4155污水处理点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235</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65</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4274污水处理点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350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243</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107</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43029污水处理点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150</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50</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43038污水处理点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500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296</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204</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44009污水处理点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190</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10</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4442污水处理点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123</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177</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4571污水处理点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128</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72</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4738污水处理点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93</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107</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4796污水处理点</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300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186</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114</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樊二联合站</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700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100</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600</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樊三联合站</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1400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646</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754</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樊一联合站</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900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250</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650</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唐山集输站</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820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274</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546</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auto"/>
                      <w:szCs w:val="21"/>
                    </w:rPr>
                  </w:pPr>
                </w:p>
              </w:tc>
              <w:tc>
                <w:tcPr>
                  <w:tcW w:w="966"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羊羔山集输站</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250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98</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152</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szCs w:val="21"/>
                    </w:rPr>
                  </w:pPr>
                  <w:r>
                    <w:rPr>
                      <w:color w:val="auto"/>
                      <w:kern w:val="0"/>
                      <w:szCs w:val="21"/>
                    </w:rPr>
                    <w:t>/</w:t>
                  </w:r>
                </w:p>
              </w:tc>
            </w:tr>
            <w:tr>
              <w:tblPrEx>
                <w:tblCellMar>
                  <w:top w:w="0" w:type="dxa"/>
                  <w:left w:w="108" w:type="dxa"/>
                  <w:bottom w:w="0" w:type="dxa"/>
                  <w:right w:w="108" w:type="dxa"/>
                </w:tblCellMar>
              </w:tblPrEx>
              <w:trPr>
                <w:trHeight w:val="312" w:hRule="atLeast"/>
                <w:jc w:val="center"/>
              </w:trPr>
              <w:tc>
                <w:tcPr>
                  <w:tcW w:w="1227"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auto"/>
                      <w:szCs w:val="21"/>
                    </w:rPr>
                  </w:pPr>
                  <w:r>
                    <w:rPr>
                      <w:rFonts w:hint="eastAsia"/>
                      <w:color w:val="auto"/>
                      <w:kern w:val="0"/>
                      <w:szCs w:val="21"/>
                    </w:rPr>
                    <w:t>小</w:t>
                  </w:r>
                  <w:r>
                    <w:rPr>
                      <w:color w:val="auto"/>
                      <w:kern w:val="0"/>
                      <w:szCs w:val="21"/>
                    </w:rPr>
                    <w:t>计</w:t>
                  </w: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kern w:val="0"/>
                      <w:szCs w:val="21"/>
                    </w:rPr>
                  </w:pPr>
                  <w:r>
                    <w:rPr>
                      <w:color w:val="auto"/>
                      <w:kern w:val="0"/>
                      <w:szCs w:val="21"/>
                    </w:rPr>
                    <w:t>7570</w:t>
                  </w:r>
                </w:p>
              </w:tc>
              <w:tc>
                <w:tcPr>
                  <w:tcW w:w="62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kern w:val="0"/>
                      <w:szCs w:val="21"/>
                    </w:rPr>
                  </w:pPr>
                  <w:r>
                    <w:rPr>
                      <w:color w:val="auto"/>
                      <w:kern w:val="0"/>
                      <w:szCs w:val="21"/>
                    </w:rPr>
                    <w:t>3667</w:t>
                  </w:r>
                </w:p>
              </w:tc>
              <w:tc>
                <w:tcPr>
                  <w:tcW w:w="768"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kern w:val="0"/>
                      <w:szCs w:val="21"/>
                    </w:rPr>
                  </w:pPr>
                  <w:r>
                    <w:rPr>
                      <w:color w:val="auto"/>
                      <w:kern w:val="0"/>
                      <w:szCs w:val="21"/>
                    </w:rPr>
                    <w:t>3903</w:t>
                  </w:r>
                </w:p>
              </w:tc>
              <w:tc>
                <w:tcPr>
                  <w:tcW w:w="90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kern w:val="0"/>
                      <w:szCs w:val="21"/>
                    </w:rPr>
                  </w:pPr>
                  <w:r>
                    <w:rPr>
                      <w:color w:val="auto"/>
                      <w:kern w:val="0"/>
                      <w:szCs w:val="21"/>
                    </w:rPr>
                    <w:t>1018</w:t>
                  </w:r>
                </w:p>
              </w:tc>
              <w:tc>
                <w:tcPr>
                  <w:tcW w:w="88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kern w:val="0"/>
                      <w:szCs w:val="21"/>
                    </w:rPr>
                  </w:pPr>
                  <w:r>
                    <w:rPr>
                      <w:color w:val="auto"/>
                      <w:kern w:val="0"/>
                      <w:szCs w:val="21"/>
                    </w:rPr>
                    <w:t>2885</w:t>
                  </w:r>
                </w:p>
              </w:tc>
            </w:tr>
            <w:tr>
              <w:tblPrEx>
                <w:tblCellMar>
                  <w:top w:w="0" w:type="dxa"/>
                  <w:left w:w="108" w:type="dxa"/>
                  <w:bottom w:w="0" w:type="dxa"/>
                  <w:right w:w="108" w:type="dxa"/>
                </w:tblCellMar>
              </w:tblPrEx>
              <w:trPr>
                <w:trHeight w:val="312" w:hRule="atLeast"/>
                <w:jc w:val="center"/>
              </w:trPr>
              <w:tc>
                <w:tcPr>
                  <w:tcW w:w="1227" w:type="pct"/>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auto"/>
                      <w:kern w:val="0"/>
                      <w:szCs w:val="21"/>
                    </w:rPr>
                  </w:pPr>
                  <w:r>
                    <w:rPr>
                      <w:rFonts w:hint="eastAsia"/>
                      <w:color w:val="auto"/>
                      <w:kern w:val="0"/>
                      <w:szCs w:val="21"/>
                    </w:rPr>
                    <w:t>合</w:t>
                  </w:r>
                  <w:r>
                    <w:rPr>
                      <w:color w:val="auto"/>
                      <w:kern w:val="0"/>
                      <w:szCs w:val="21"/>
                    </w:rPr>
                    <w:t>计</w:t>
                  </w: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14350</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7272</w:t>
                  </w:r>
                </w:p>
              </w:tc>
              <w:tc>
                <w:tcPr>
                  <w:tcW w:w="1248"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7078</w:t>
                  </w:r>
                </w:p>
              </w:tc>
              <w:tc>
                <w:tcPr>
                  <w:tcW w:w="146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1471.6</w:t>
                  </w:r>
                </w:p>
              </w:tc>
              <w:tc>
                <w:tcPr>
                  <w:tcW w:w="1436"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5606.4</w:t>
                  </w:r>
                </w:p>
              </w:tc>
            </w:tr>
          </w:tbl>
          <w:p>
            <w:pPr>
              <w:pStyle w:val="9"/>
              <w:snapToGrid/>
              <w:spacing w:before="0" w:after="0" w:line="360" w:lineRule="auto"/>
              <w:ind w:right="0" w:firstLine="482" w:firstLineChars="200"/>
              <w:rPr>
                <w:b/>
                <w:bCs/>
                <w:color w:val="auto"/>
                <w:sz w:val="24"/>
                <w:szCs w:val="24"/>
              </w:rPr>
            </w:pPr>
            <w:r>
              <w:rPr>
                <w:rFonts w:hint="eastAsia"/>
                <w:b/>
                <w:bCs/>
                <w:color w:val="auto"/>
                <w:sz w:val="24"/>
                <w:szCs w:val="24"/>
              </w:rPr>
              <w:t>7、现有回注水系统与本项目衔接</w:t>
            </w:r>
          </w:p>
          <w:p>
            <w:pPr>
              <w:pStyle w:val="9"/>
              <w:spacing w:before="0" w:after="0" w:line="360" w:lineRule="auto"/>
              <w:ind w:firstLine="480" w:firstLineChars="200"/>
              <w:rPr>
                <w:color w:val="auto"/>
                <w:kern w:val="2"/>
                <w:sz w:val="24"/>
                <w:szCs w:val="24"/>
              </w:rPr>
            </w:pPr>
            <w:r>
              <w:rPr>
                <w:rFonts w:hint="eastAsia"/>
                <w:color w:val="auto"/>
                <w:kern w:val="2"/>
                <w:sz w:val="24"/>
                <w:szCs w:val="24"/>
              </w:rPr>
              <w:t>本项目处理后的采出水</w:t>
            </w:r>
            <w:r>
              <w:rPr>
                <w:color w:val="auto"/>
                <w:kern w:val="2"/>
                <w:sz w:val="24"/>
                <w:szCs w:val="24"/>
              </w:rPr>
              <w:t>目前尚未确定具体回注方式及回注层位，后期优先采用管道</w:t>
            </w:r>
            <w:r>
              <w:rPr>
                <w:rFonts w:hint="eastAsia"/>
                <w:color w:val="auto"/>
                <w:kern w:val="2"/>
                <w:sz w:val="24"/>
                <w:szCs w:val="24"/>
                <w:lang w:val="en-US" w:eastAsia="zh-CN"/>
              </w:rPr>
              <w:t>或罐车拉运</w:t>
            </w:r>
            <w:r>
              <w:rPr>
                <w:color w:val="auto"/>
                <w:kern w:val="2"/>
                <w:sz w:val="24"/>
                <w:szCs w:val="24"/>
              </w:rPr>
              <w:t>就近回注，在采出水量不够的情况下补给水源井清水</w:t>
            </w:r>
            <w:r>
              <w:rPr>
                <w:rFonts w:hint="eastAsia"/>
                <w:color w:val="auto"/>
                <w:kern w:val="2"/>
                <w:sz w:val="24"/>
                <w:szCs w:val="24"/>
                <w:lang w:val="en-US" w:eastAsia="zh-CN"/>
              </w:rPr>
              <w:t>回注清污水站，禁止回注到清水站</w:t>
            </w:r>
            <w:r>
              <w:rPr>
                <w:color w:val="auto"/>
                <w:kern w:val="2"/>
                <w:sz w:val="24"/>
                <w:szCs w:val="24"/>
              </w:rPr>
              <w:t>。</w:t>
            </w:r>
          </w:p>
          <w:p>
            <w:pPr>
              <w:pStyle w:val="9"/>
              <w:spacing w:before="0" w:after="0" w:line="360" w:lineRule="auto"/>
              <w:ind w:firstLine="480" w:firstLineChars="200"/>
              <w:rPr>
                <w:color w:val="auto"/>
                <w:kern w:val="2"/>
                <w:sz w:val="24"/>
                <w:szCs w:val="24"/>
              </w:rPr>
            </w:pPr>
            <w:r>
              <w:rPr>
                <w:color w:val="auto"/>
                <w:kern w:val="2"/>
                <w:sz w:val="24"/>
                <w:szCs w:val="24"/>
              </w:rPr>
              <w:t>定边采油厂</w:t>
            </w:r>
            <w:r>
              <w:rPr>
                <w:rFonts w:hint="eastAsia"/>
                <w:color w:val="auto"/>
                <w:kern w:val="2"/>
                <w:sz w:val="24"/>
                <w:szCs w:val="24"/>
              </w:rPr>
              <w:t>全厂</w:t>
            </w:r>
            <w:r>
              <w:rPr>
                <w:color w:val="auto"/>
                <w:kern w:val="2"/>
                <w:sz w:val="24"/>
                <w:szCs w:val="24"/>
              </w:rPr>
              <w:t>回注水回注能力为40750m</w:t>
            </w:r>
            <w:r>
              <w:rPr>
                <w:color w:val="auto"/>
                <w:kern w:val="2"/>
                <w:sz w:val="24"/>
                <w:szCs w:val="24"/>
                <w:vertAlign w:val="superscript"/>
              </w:rPr>
              <w:t>3</w:t>
            </w:r>
            <w:r>
              <w:rPr>
                <w:color w:val="auto"/>
                <w:kern w:val="2"/>
                <w:sz w:val="24"/>
                <w:szCs w:val="24"/>
              </w:rPr>
              <w:t>/d，现状及在建项目回注水量为24658m</w:t>
            </w:r>
            <w:r>
              <w:rPr>
                <w:color w:val="auto"/>
                <w:kern w:val="2"/>
                <w:sz w:val="24"/>
                <w:szCs w:val="24"/>
                <w:vertAlign w:val="superscript"/>
              </w:rPr>
              <w:t>3</w:t>
            </w:r>
            <w:r>
              <w:rPr>
                <w:color w:val="auto"/>
                <w:kern w:val="2"/>
                <w:sz w:val="24"/>
                <w:szCs w:val="24"/>
              </w:rPr>
              <w:t>/d，富裕回注能力为16092m</w:t>
            </w:r>
            <w:r>
              <w:rPr>
                <w:color w:val="auto"/>
                <w:kern w:val="2"/>
                <w:sz w:val="24"/>
                <w:szCs w:val="24"/>
                <w:vertAlign w:val="superscript"/>
              </w:rPr>
              <w:t>3</w:t>
            </w:r>
            <w:r>
              <w:rPr>
                <w:color w:val="auto"/>
                <w:kern w:val="2"/>
                <w:sz w:val="24"/>
                <w:szCs w:val="24"/>
              </w:rPr>
              <w:t>/d，本项目产生待回注水约900m</w:t>
            </w:r>
            <w:r>
              <w:rPr>
                <w:color w:val="auto"/>
                <w:kern w:val="2"/>
                <w:sz w:val="24"/>
                <w:szCs w:val="24"/>
                <w:vertAlign w:val="superscript"/>
              </w:rPr>
              <w:t>3</w:t>
            </w:r>
            <w:r>
              <w:rPr>
                <w:color w:val="auto"/>
                <w:kern w:val="2"/>
                <w:sz w:val="24"/>
                <w:szCs w:val="24"/>
              </w:rPr>
              <w:t>/d，远小于富裕回注量，且本项目水源为现有其他处理站的水源，本项目建成后其他水处理站产生的回注水将减少</w:t>
            </w:r>
            <w:r>
              <w:rPr>
                <w:rFonts w:hint="eastAsia"/>
                <w:color w:val="auto"/>
                <w:kern w:val="2"/>
                <w:sz w:val="24"/>
                <w:szCs w:val="24"/>
              </w:rPr>
              <w:t>，全厂回注水总量可满足本项目需要。</w:t>
            </w:r>
          </w:p>
          <w:p>
            <w:pPr>
              <w:pStyle w:val="9"/>
              <w:spacing w:before="0" w:after="0" w:line="360" w:lineRule="auto"/>
              <w:ind w:firstLine="480" w:firstLineChars="200"/>
              <w:rPr>
                <w:color w:val="auto"/>
                <w:kern w:val="2"/>
                <w:sz w:val="24"/>
                <w:szCs w:val="24"/>
              </w:rPr>
            </w:pPr>
            <w:r>
              <w:rPr>
                <w:rFonts w:hint="eastAsia"/>
                <w:color w:val="auto"/>
                <w:kern w:val="2"/>
                <w:sz w:val="24"/>
                <w:szCs w:val="24"/>
              </w:rPr>
              <w:t>其中东仁沟富裕</w:t>
            </w:r>
            <w:r>
              <w:rPr>
                <w:color w:val="auto"/>
                <w:kern w:val="2"/>
                <w:sz w:val="24"/>
                <w:szCs w:val="24"/>
              </w:rPr>
              <w:t>注水能力</w:t>
            </w:r>
            <w:r>
              <w:rPr>
                <w:rFonts w:hint="eastAsia"/>
                <w:color w:val="auto"/>
                <w:kern w:val="2"/>
                <w:sz w:val="24"/>
                <w:szCs w:val="24"/>
              </w:rPr>
              <w:t>5991</w:t>
            </w:r>
            <w:r>
              <w:rPr>
                <w:color w:val="auto"/>
                <w:kern w:val="2"/>
                <w:sz w:val="24"/>
                <w:szCs w:val="24"/>
              </w:rPr>
              <w:t>m</w:t>
            </w:r>
            <w:r>
              <w:rPr>
                <w:color w:val="auto"/>
                <w:kern w:val="2"/>
                <w:sz w:val="24"/>
                <w:szCs w:val="24"/>
                <w:vertAlign w:val="superscript"/>
              </w:rPr>
              <w:t>3</w:t>
            </w:r>
            <w:r>
              <w:rPr>
                <w:color w:val="auto"/>
                <w:kern w:val="2"/>
                <w:sz w:val="24"/>
                <w:szCs w:val="24"/>
              </w:rPr>
              <w:t>/d</w:t>
            </w:r>
            <w:r>
              <w:rPr>
                <w:rFonts w:hint="eastAsia"/>
                <w:color w:val="auto"/>
                <w:kern w:val="2"/>
                <w:sz w:val="24"/>
                <w:szCs w:val="24"/>
              </w:rPr>
              <w:t>，五兴庄富裕</w:t>
            </w:r>
            <w:r>
              <w:rPr>
                <w:color w:val="auto"/>
                <w:kern w:val="2"/>
                <w:sz w:val="24"/>
                <w:szCs w:val="24"/>
              </w:rPr>
              <w:t>注水能力</w:t>
            </w:r>
            <w:r>
              <w:rPr>
                <w:rFonts w:hint="eastAsia"/>
                <w:color w:val="auto"/>
                <w:kern w:val="2"/>
                <w:sz w:val="24"/>
                <w:szCs w:val="24"/>
              </w:rPr>
              <w:t>1185</w:t>
            </w:r>
            <w:r>
              <w:rPr>
                <w:color w:val="auto"/>
                <w:kern w:val="2"/>
                <w:sz w:val="24"/>
                <w:szCs w:val="24"/>
              </w:rPr>
              <w:t>m</w:t>
            </w:r>
            <w:r>
              <w:rPr>
                <w:color w:val="auto"/>
                <w:kern w:val="2"/>
                <w:sz w:val="24"/>
                <w:szCs w:val="24"/>
                <w:vertAlign w:val="superscript"/>
              </w:rPr>
              <w:t>3</w:t>
            </w:r>
            <w:r>
              <w:rPr>
                <w:color w:val="auto"/>
                <w:kern w:val="2"/>
                <w:sz w:val="24"/>
                <w:szCs w:val="24"/>
              </w:rPr>
              <w:t>/d</w:t>
            </w:r>
            <w:r>
              <w:rPr>
                <w:rFonts w:hint="eastAsia"/>
                <w:color w:val="auto"/>
                <w:kern w:val="2"/>
                <w:sz w:val="24"/>
                <w:szCs w:val="24"/>
              </w:rPr>
              <w:t>，</w:t>
            </w:r>
            <w:r>
              <w:rPr>
                <w:rFonts w:hint="eastAsia"/>
                <w:color w:val="auto"/>
                <w:kern w:val="2"/>
                <w:sz w:val="24"/>
                <w:szCs w:val="24"/>
                <w:lang w:eastAsia="zh-CN"/>
              </w:rPr>
              <w:t>白马崾岘</w:t>
            </w:r>
            <w:r>
              <w:rPr>
                <w:rFonts w:hint="eastAsia"/>
                <w:color w:val="auto"/>
                <w:kern w:val="2"/>
                <w:sz w:val="24"/>
                <w:szCs w:val="24"/>
              </w:rPr>
              <w:t>富裕</w:t>
            </w:r>
            <w:r>
              <w:rPr>
                <w:color w:val="auto"/>
                <w:kern w:val="2"/>
                <w:sz w:val="24"/>
                <w:szCs w:val="24"/>
              </w:rPr>
              <w:t>注水能力</w:t>
            </w:r>
            <w:r>
              <w:rPr>
                <w:rFonts w:hint="eastAsia"/>
                <w:color w:val="auto"/>
                <w:kern w:val="2"/>
                <w:sz w:val="24"/>
                <w:szCs w:val="24"/>
              </w:rPr>
              <w:t>3637</w:t>
            </w:r>
            <w:r>
              <w:rPr>
                <w:color w:val="auto"/>
                <w:kern w:val="2"/>
                <w:sz w:val="24"/>
                <w:szCs w:val="24"/>
              </w:rPr>
              <w:t>m</w:t>
            </w:r>
            <w:r>
              <w:rPr>
                <w:color w:val="auto"/>
                <w:kern w:val="2"/>
                <w:sz w:val="24"/>
                <w:szCs w:val="24"/>
                <w:vertAlign w:val="superscript"/>
              </w:rPr>
              <w:t>3</w:t>
            </w:r>
            <w:r>
              <w:rPr>
                <w:color w:val="auto"/>
                <w:kern w:val="2"/>
                <w:sz w:val="24"/>
                <w:szCs w:val="24"/>
              </w:rPr>
              <w:t>/d</w:t>
            </w:r>
            <w:r>
              <w:rPr>
                <w:rFonts w:hint="eastAsia"/>
                <w:color w:val="auto"/>
                <w:kern w:val="2"/>
                <w:sz w:val="24"/>
                <w:szCs w:val="24"/>
              </w:rPr>
              <w:t>，均满足本项目移动式撬装设备最大的600</w:t>
            </w:r>
            <w:r>
              <w:rPr>
                <w:color w:val="auto"/>
                <w:kern w:val="2"/>
                <w:sz w:val="24"/>
                <w:szCs w:val="24"/>
              </w:rPr>
              <w:t>m</w:t>
            </w:r>
            <w:r>
              <w:rPr>
                <w:color w:val="auto"/>
                <w:kern w:val="2"/>
                <w:sz w:val="24"/>
                <w:szCs w:val="24"/>
                <w:vertAlign w:val="superscript"/>
              </w:rPr>
              <w:t>3</w:t>
            </w:r>
            <w:r>
              <w:rPr>
                <w:color w:val="auto"/>
                <w:kern w:val="2"/>
                <w:sz w:val="24"/>
                <w:szCs w:val="24"/>
              </w:rPr>
              <w:t>/d</w:t>
            </w:r>
            <w:r>
              <w:rPr>
                <w:rFonts w:hint="eastAsia"/>
                <w:color w:val="auto"/>
                <w:kern w:val="2"/>
                <w:sz w:val="24"/>
                <w:szCs w:val="24"/>
              </w:rPr>
              <w:t>待回注规模，故本项目处理后水从规模而已依托自身所在油区回注井可行。</w:t>
            </w:r>
          </w:p>
          <w:p>
            <w:pPr>
              <w:pStyle w:val="9"/>
              <w:spacing w:before="0" w:after="0" w:line="360" w:lineRule="auto"/>
              <w:ind w:firstLine="480" w:firstLineChars="200"/>
              <w:rPr>
                <w:color w:val="auto"/>
                <w:kern w:val="2"/>
                <w:sz w:val="24"/>
                <w:szCs w:val="24"/>
              </w:rPr>
            </w:pPr>
            <w:r>
              <w:rPr>
                <w:rFonts w:hint="eastAsia"/>
                <w:color w:val="auto"/>
                <w:kern w:val="2"/>
                <w:sz w:val="24"/>
                <w:szCs w:val="24"/>
              </w:rPr>
              <w:t>本项目主要涉及东仁沟、五兴庄、</w:t>
            </w:r>
            <w:r>
              <w:rPr>
                <w:rFonts w:hint="eastAsia"/>
                <w:color w:val="auto"/>
                <w:kern w:val="2"/>
                <w:sz w:val="24"/>
                <w:szCs w:val="24"/>
                <w:lang w:eastAsia="zh-CN"/>
              </w:rPr>
              <w:t>白马崾岘</w:t>
            </w:r>
            <w:r>
              <w:rPr>
                <w:rFonts w:hint="eastAsia"/>
                <w:color w:val="auto"/>
                <w:kern w:val="2"/>
                <w:sz w:val="24"/>
                <w:szCs w:val="24"/>
              </w:rPr>
              <w:t>3个采油队。采油队内现有回注井的环评、应急预案、验收手续均纳入全厂的产能环评、应急预案和验收，环保手续齐全。</w:t>
            </w:r>
          </w:p>
          <w:p>
            <w:pPr>
              <w:pStyle w:val="9"/>
              <w:spacing w:before="0" w:after="0" w:line="360" w:lineRule="auto"/>
              <w:ind w:firstLine="480" w:firstLineChars="200"/>
              <w:rPr>
                <w:color w:val="auto"/>
                <w:kern w:val="2"/>
                <w:sz w:val="24"/>
                <w:szCs w:val="24"/>
              </w:rPr>
            </w:pPr>
            <w:r>
              <w:rPr>
                <w:rFonts w:hint="eastAsia"/>
                <w:color w:val="auto"/>
                <w:kern w:val="2"/>
                <w:sz w:val="24"/>
                <w:szCs w:val="24"/>
              </w:rPr>
              <w:t>本项目2511、3270、4926-4站的注水井目前暂时停止注水，原注水层位分别为延10、延9、长4+5油层。根据定边采油厂油藏勘探资料，延10油层平均埋深1900m以下，延8油层平均埋深1800m以下，长4+5油层平均埋深2100m。注水井埋深均大于1800m；从回注层位的地质构造上看，地层中夹有多层较厚的砂岩与泥岩等弱透水层或不透水层；从注水井井身结构上看，注水井均以水泥与钢质管道全封闭，上有封套完全隔绝了回注污水在注入过程中与非注水层及地下水的联系，阻止了回注水对非回注水层的污染，仅井体底部的钢质封闭管壁设置了射孔段可作为压力污水排出钢管之外的通道。井底构筑了水泥塞，阻止了注水向下部地层的渗入。井口高出地面，还设置控制加压装置，这就防止了对近地表的地下潜水与地表水的污染。因此回注地层的污水，在正常情况下不会跨越抗压强度较高的钢管与水泥阻挡层而涌入非注水层，更不会污染白垩系承压水和第四系地下潜水。</w:t>
            </w:r>
          </w:p>
          <w:p>
            <w:pPr>
              <w:pStyle w:val="9"/>
              <w:spacing w:before="0" w:after="0" w:line="360" w:lineRule="auto"/>
              <w:ind w:firstLine="480" w:firstLineChars="200"/>
              <w:rPr>
                <w:color w:val="auto"/>
                <w:kern w:val="2"/>
                <w:sz w:val="24"/>
                <w:szCs w:val="24"/>
              </w:rPr>
            </w:pPr>
            <w:r>
              <w:rPr>
                <w:rFonts w:hint="eastAsia"/>
                <w:color w:val="auto"/>
                <w:kern w:val="2"/>
                <w:sz w:val="24"/>
                <w:szCs w:val="24"/>
              </w:rPr>
              <w:t>另外，按照水文地质资料，项目采出水的回注层距离上伏的洛河含水岩组底界之间存在约1000m厚的地层封隔，且按照上述油气藏形成和赋存的地质构造条件，油层与含水层之间不存在水力联系，因而，从注水层位及回注层地质构造分析，在正常的油田开发过程中，回注水到含油层的采出水不会对地下水水质产生影响。</w:t>
            </w:r>
          </w:p>
          <w:p>
            <w:pPr>
              <w:pStyle w:val="9"/>
              <w:spacing w:before="0" w:after="0" w:line="360" w:lineRule="auto"/>
              <w:ind w:firstLine="480" w:firstLineChars="200"/>
              <w:rPr>
                <w:color w:val="auto"/>
                <w:kern w:val="2"/>
                <w:sz w:val="24"/>
                <w:szCs w:val="24"/>
              </w:rPr>
            </w:pPr>
            <w:r>
              <w:rPr>
                <w:color w:val="auto"/>
                <w:kern w:val="2"/>
                <w:sz w:val="24"/>
                <w:szCs w:val="24"/>
              </w:rPr>
              <w:t>综上所述，本项目处理后水</w:t>
            </w:r>
            <w:r>
              <w:rPr>
                <w:rFonts w:hint="eastAsia"/>
                <w:color w:val="auto"/>
                <w:kern w:val="2"/>
                <w:sz w:val="24"/>
                <w:szCs w:val="24"/>
              </w:rPr>
              <w:t>从水量、环保手续、运行状况、就近原则、水质及污染防治措施分析，</w:t>
            </w:r>
            <w:r>
              <w:rPr>
                <w:color w:val="auto"/>
                <w:kern w:val="2"/>
                <w:sz w:val="24"/>
                <w:szCs w:val="24"/>
              </w:rPr>
              <w:t>依托现有回注井可行。</w:t>
            </w:r>
          </w:p>
          <w:p>
            <w:pPr>
              <w:pStyle w:val="9"/>
              <w:spacing w:before="0" w:after="0" w:line="360" w:lineRule="auto"/>
              <w:ind w:firstLine="480" w:firstLineChars="200"/>
              <w:rPr>
                <w:color w:val="auto"/>
                <w:kern w:val="2"/>
                <w:sz w:val="24"/>
                <w:szCs w:val="24"/>
              </w:rPr>
            </w:pPr>
            <w:r>
              <w:rPr>
                <w:rFonts w:hint="eastAsia"/>
                <w:color w:val="auto"/>
                <w:kern w:val="2"/>
                <w:sz w:val="24"/>
                <w:szCs w:val="24"/>
                <w:lang w:val="en-US" w:eastAsia="zh-CN"/>
              </w:rPr>
              <w:t>本项目收水范围内</w:t>
            </w:r>
            <w:r>
              <w:rPr>
                <w:color w:val="auto"/>
                <w:kern w:val="2"/>
                <w:sz w:val="24"/>
                <w:szCs w:val="24"/>
              </w:rPr>
              <w:t>回注水</w:t>
            </w:r>
            <w:r>
              <w:rPr>
                <w:rFonts w:hint="eastAsia"/>
                <w:color w:val="auto"/>
                <w:kern w:val="2"/>
                <w:sz w:val="24"/>
                <w:szCs w:val="24"/>
                <w:lang w:val="en-US" w:eastAsia="zh-CN"/>
              </w:rPr>
              <w:t>站情况</w:t>
            </w:r>
            <w:r>
              <w:rPr>
                <w:color w:val="auto"/>
                <w:kern w:val="2"/>
                <w:sz w:val="24"/>
                <w:szCs w:val="24"/>
              </w:rPr>
              <w:t>见表2-20。</w:t>
            </w:r>
          </w:p>
          <w:p>
            <w:pPr>
              <w:pStyle w:val="9"/>
              <w:snapToGrid/>
              <w:spacing w:before="0" w:after="0" w:line="360" w:lineRule="auto"/>
              <w:ind w:right="0" w:firstLine="0" w:firstLineChars="0"/>
              <w:jc w:val="center"/>
              <w:rPr>
                <w:b/>
                <w:bCs/>
                <w:color w:val="auto"/>
                <w:sz w:val="24"/>
                <w:szCs w:val="24"/>
              </w:rPr>
            </w:pPr>
            <w:r>
              <w:rPr>
                <w:rFonts w:hint="eastAsia" w:ascii="黑体" w:hAnsi="黑体" w:eastAsia="黑体" w:cs="黑体"/>
                <w:color w:val="auto"/>
                <w:sz w:val="21"/>
                <w:szCs w:val="21"/>
              </w:rPr>
              <w:t xml:space="preserve">表2-20  </w:t>
            </w:r>
            <w:r>
              <w:rPr>
                <w:rFonts w:hint="eastAsia" w:eastAsia="黑体"/>
                <w:bCs/>
                <w:color w:val="auto"/>
                <w:sz w:val="21"/>
                <w:szCs w:val="21"/>
              </w:rPr>
              <w:t>本项目收水范围内</w:t>
            </w:r>
            <w:r>
              <w:rPr>
                <w:rFonts w:hint="eastAsia" w:ascii="黑体" w:hAnsi="黑体" w:eastAsia="黑体" w:cs="黑体"/>
                <w:color w:val="auto"/>
                <w:sz w:val="21"/>
                <w:szCs w:val="21"/>
              </w:rPr>
              <w:t>现有回注水</w:t>
            </w:r>
            <w:r>
              <w:rPr>
                <w:rFonts w:hint="eastAsia" w:ascii="黑体" w:hAnsi="黑体" w:eastAsia="黑体" w:cs="黑体"/>
                <w:color w:val="auto"/>
                <w:sz w:val="21"/>
                <w:szCs w:val="21"/>
                <w:lang w:val="en-US" w:eastAsia="zh-CN"/>
              </w:rPr>
              <w:t>站</w:t>
            </w:r>
            <w:r>
              <w:rPr>
                <w:rFonts w:hint="eastAsia" w:ascii="黑体" w:hAnsi="黑体" w:eastAsia="黑体" w:cs="黑体"/>
                <w:color w:val="auto"/>
                <w:sz w:val="21"/>
                <w:szCs w:val="21"/>
              </w:rPr>
              <w:t>情况一览表</w:t>
            </w:r>
          </w:p>
          <w:tbl>
            <w:tblPr>
              <w:tblStyle w:val="34"/>
              <w:tblW w:w="497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7"/>
              <w:gridCol w:w="857"/>
              <w:gridCol w:w="1331"/>
              <w:gridCol w:w="691"/>
              <w:gridCol w:w="864"/>
              <w:gridCol w:w="945"/>
              <w:gridCol w:w="796"/>
              <w:gridCol w:w="945"/>
              <w:gridCol w:w="11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rPr>
              <w:tc>
                <w:tcPr>
                  <w:tcW w:w="295"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序号</w:t>
                  </w:r>
                </w:p>
              </w:tc>
              <w:tc>
                <w:tcPr>
                  <w:tcW w:w="530"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区块</w:t>
                  </w: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水源类型</w:t>
                  </w:r>
                </w:p>
              </w:tc>
              <w:tc>
                <w:tcPr>
                  <w:tcW w:w="535"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注水能力（m</w:t>
                  </w:r>
                  <w:r>
                    <w:rPr>
                      <w:color w:val="auto"/>
                      <w:kern w:val="0"/>
                      <w:szCs w:val="21"/>
                      <w:vertAlign w:val="superscript"/>
                    </w:rPr>
                    <w:t>3</w:t>
                  </w:r>
                  <w:r>
                    <w:rPr>
                      <w:color w:val="auto"/>
                      <w:kern w:val="0"/>
                      <w:szCs w:val="21"/>
                    </w:rPr>
                    <w:t>/d）</w:t>
                  </w:r>
                </w:p>
              </w:tc>
              <w:tc>
                <w:tcPr>
                  <w:tcW w:w="585"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现有工程注水负荷（m</w:t>
                  </w:r>
                  <w:r>
                    <w:rPr>
                      <w:color w:val="auto"/>
                      <w:kern w:val="0"/>
                      <w:szCs w:val="21"/>
                      <w:vertAlign w:val="superscript"/>
                    </w:rPr>
                    <w:t>3</w:t>
                  </w:r>
                  <w:r>
                    <w:rPr>
                      <w:color w:val="auto"/>
                      <w:kern w:val="0"/>
                      <w:szCs w:val="21"/>
                    </w:rPr>
                    <w:t>/d）</w:t>
                  </w:r>
                </w:p>
              </w:tc>
              <w:tc>
                <w:tcPr>
                  <w:tcW w:w="492" w:type="pct"/>
                  <w:tcBorders>
                    <w:tl2br w:val="nil"/>
                    <w:tr2bl w:val="nil"/>
                  </w:tcBorders>
                  <w:vAlign w:val="center"/>
                </w:tcPr>
                <w:p>
                  <w:pPr>
                    <w:widowControl/>
                    <w:adjustRightInd w:val="0"/>
                    <w:snapToGrid w:val="0"/>
                    <w:jc w:val="center"/>
                    <w:textAlignment w:val="center"/>
                    <w:rPr>
                      <w:color w:val="auto"/>
                      <w:kern w:val="0"/>
                      <w:szCs w:val="21"/>
                    </w:rPr>
                  </w:pPr>
                  <w:r>
                    <w:rPr>
                      <w:rFonts w:hint="eastAsia"/>
                      <w:color w:val="auto"/>
                      <w:kern w:val="0"/>
                      <w:szCs w:val="21"/>
                    </w:rPr>
                    <w:t>现</w:t>
                  </w:r>
                  <w:r>
                    <w:rPr>
                      <w:color w:val="auto"/>
                      <w:kern w:val="0"/>
                      <w:szCs w:val="21"/>
                    </w:rPr>
                    <w:t>剩余注水能力（m</w:t>
                  </w:r>
                  <w:r>
                    <w:rPr>
                      <w:color w:val="auto"/>
                      <w:kern w:val="0"/>
                      <w:szCs w:val="21"/>
                      <w:vertAlign w:val="superscript"/>
                    </w:rPr>
                    <w:t>3</w:t>
                  </w:r>
                  <w:r>
                    <w:rPr>
                      <w:color w:val="auto"/>
                      <w:kern w:val="0"/>
                      <w:szCs w:val="21"/>
                    </w:rPr>
                    <w:t>/d）</w:t>
                  </w:r>
                </w:p>
              </w:tc>
              <w:tc>
                <w:tcPr>
                  <w:tcW w:w="585" w:type="pct"/>
                  <w:tcBorders>
                    <w:tl2br w:val="nil"/>
                    <w:tr2bl w:val="nil"/>
                  </w:tcBorders>
                  <w:vAlign w:val="center"/>
                </w:tcPr>
                <w:p>
                  <w:pPr>
                    <w:widowControl/>
                    <w:adjustRightInd w:val="0"/>
                    <w:snapToGrid w:val="0"/>
                    <w:jc w:val="center"/>
                    <w:textAlignment w:val="center"/>
                    <w:rPr>
                      <w:color w:val="auto"/>
                      <w:kern w:val="0"/>
                      <w:szCs w:val="21"/>
                    </w:rPr>
                  </w:pPr>
                  <w:r>
                    <w:rPr>
                      <w:rFonts w:hint="eastAsia"/>
                      <w:color w:val="auto"/>
                      <w:kern w:val="0"/>
                      <w:szCs w:val="21"/>
                    </w:rPr>
                    <w:t>在建50万吨/a产能项目</w:t>
                  </w:r>
                  <w:r>
                    <w:rPr>
                      <w:color w:val="auto"/>
                      <w:kern w:val="0"/>
                      <w:szCs w:val="21"/>
                    </w:rPr>
                    <w:t>新增注水负荷（m</w:t>
                  </w:r>
                  <w:r>
                    <w:rPr>
                      <w:color w:val="auto"/>
                      <w:kern w:val="0"/>
                      <w:szCs w:val="21"/>
                      <w:vertAlign w:val="superscript"/>
                    </w:rPr>
                    <w:t>3</w:t>
                  </w:r>
                  <w:r>
                    <w:rPr>
                      <w:color w:val="auto"/>
                      <w:kern w:val="0"/>
                      <w:szCs w:val="21"/>
                    </w:rPr>
                    <w:t>/d）</w:t>
                  </w:r>
                </w:p>
              </w:tc>
              <w:tc>
                <w:tcPr>
                  <w:tcW w:w="723" w:type="pct"/>
                  <w:tcBorders>
                    <w:tl2br w:val="nil"/>
                    <w:tr2bl w:val="nil"/>
                  </w:tcBorders>
                  <w:vAlign w:val="center"/>
                </w:tcPr>
                <w:p>
                  <w:pPr>
                    <w:widowControl/>
                    <w:adjustRightInd w:val="0"/>
                    <w:snapToGrid w:val="0"/>
                    <w:jc w:val="center"/>
                    <w:textAlignment w:val="center"/>
                    <w:rPr>
                      <w:color w:val="auto"/>
                      <w:kern w:val="0"/>
                      <w:szCs w:val="21"/>
                    </w:rPr>
                  </w:pPr>
                  <w:r>
                    <w:rPr>
                      <w:rFonts w:hint="eastAsia"/>
                      <w:color w:val="auto"/>
                      <w:kern w:val="0"/>
                      <w:szCs w:val="21"/>
                    </w:rPr>
                    <w:t>近期项目建成后</w:t>
                  </w:r>
                  <w:r>
                    <w:rPr>
                      <w:color w:val="auto"/>
                      <w:kern w:val="0"/>
                      <w:szCs w:val="21"/>
                    </w:rPr>
                    <w:t>剩余注水能力（m</w:t>
                  </w:r>
                  <w:r>
                    <w:rPr>
                      <w:color w:val="auto"/>
                      <w:kern w:val="0"/>
                      <w:szCs w:val="21"/>
                      <w:vertAlign w:val="superscript"/>
                    </w:rPr>
                    <w:t>3</w:t>
                  </w:r>
                  <w:r>
                    <w:rPr>
                      <w:color w:val="auto"/>
                      <w:kern w:val="0"/>
                      <w:szCs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w:t>
                  </w:r>
                </w:p>
              </w:tc>
              <w:tc>
                <w:tcPr>
                  <w:tcW w:w="530" w:type="pct"/>
                  <w:vMerge w:val="restar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东仁沟采油队韩渠油区</w:t>
                  </w: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王圈注水站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1920</w:t>
                  </w:r>
                </w:p>
              </w:tc>
              <w:tc>
                <w:tcPr>
                  <w:tcW w:w="585" w:type="pct"/>
                  <w:vMerge w:val="restar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3459</w:t>
                  </w:r>
                </w:p>
              </w:tc>
              <w:tc>
                <w:tcPr>
                  <w:tcW w:w="492" w:type="pct"/>
                  <w:vMerge w:val="restar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5981</w:t>
                  </w:r>
                </w:p>
              </w:tc>
              <w:tc>
                <w:tcPr>
                  <w:tcW w:w="585" w:type="pct"/>
                  <w:vMerge w:val="restar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390</w:t>
                  </w:r>
                </w:p>
              </w:tc>
              <w:tc>
                <w:tcPr>
                  <w:tcW w:w="723" w:type="pct"/>
                  <w:vMerge w:val="restar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5991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张天渠注水站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1920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尹渠注水站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700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达咀二号注水站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5</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定1387注水站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6</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定2642注水站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7</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东平20注水站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8</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定1827注水站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9</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高圈注水站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10</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定1716注水站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11</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定1766注水站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12</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定1988B注水站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13</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定1876注水站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14</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定1790注水站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15</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定2172注水站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16</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定40054注水站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17</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定40094注水站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18</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定40120注水站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19</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定40204注水站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定40143注水站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21</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定40234注水站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22</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定40286注水站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23</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定罗平1注水站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24</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定1657注水站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w:t>
                  </w:r>
                </w:p>
              </w:tc>
              <w:tc>
                <w:tcPr>
                  <w:tcW w:w="492"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25</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定1752B注水站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w:t>
                  </w:r>
                </w:p>
              </w:tc>
              <w:tc>
                <w:tcPr>
                  <w:tcW w:w="492"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078" w:type="pct"/>
                  <w:gridSpan w:val="4"/>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小计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9840</w:t>
                  </w:r>
                </w:p>
              </w:tc>
              <w:tc>
                <w:tcPr>
                  <w:tcW w:w="58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3459</w:t>
                  </w:r>
                </w:p>
              </w:tc>
              <w:tc>
                <w:tcPr>
                  <w:tcW w:w="492"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6381</w:t>
                  </w:r>
                </w:p>
              </w:tc>
              <w:tc>
                <w:tcPr>
                  <w:tcW w:w="58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390</w:t>
                  </w:r>
                </w:p>
              </w:tc>
              <w:tc>
                <w:tcPr>
                  <w:tcW w:w="723"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5991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26</w:t>
                  </w:r>
                </w:p>
              </w:tc>
              <w:tc>
                <w:tcPr>
                  <w:tcW w:w="530" w:type="pct"/>
                  <w:vMerge w:val="restar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白马崾岘采油队小涧湾油区</w:t>
                  </w: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定4766-4注水站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400</w:t>
                  </w:r>
                </w:p>
              </w:tc>
              <w:tc>
                <w:tcPr>
                  <w:tcW w:w="585" w:type="pct"/>
                  <w:vMerge w:val="restar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10060</w:t>
                  </w:r>
                </w:p>
              </w:tc>
              <w:tc>
                <w:tcPr>
                  <w:tcW w:w="492" w:type="pct"/>
                  <w:vMerge w:val="restar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4450</w:t>
                  </w:r>
                </w:p>
              </w:tc>
              <w:tc>
                <w:tcPr>
                  <w:tcW w:w="585" w:type="pct"/>
                  <w:vMerge w:val="restar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1813</w:t>
                  </w:r>
                </w:p>
              </w:tc>
              <w:tc>
                <w:tcPr>
                  <w:tcW w:w="723" w:type="pct"/>
                  <w:vMerge w:val="restar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3637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27</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定4891注水站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28</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定4942注水站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29</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定4796注水站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450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定4913注水站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31</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定4910注水站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32</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定4151注水站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33</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定4227注水站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34</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定43011注水站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35</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定4673注水站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36</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定4738注水站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37</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羊羔山脱水站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38</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樊二联合站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1600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39</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定44009注水站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40</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定4442注水站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460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41</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定4274注水站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1000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42</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定4163注水站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43</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定4176注水站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44</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定4496注水站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500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45</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定4155注水站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46</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定43038注水站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500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47</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唐山脱水站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48</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定4571注水站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49</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定40033注水站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50</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定4080注水站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51</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定4081注水站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52</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定4092注水站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53</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樊三联合站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1400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54</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樊一联合站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1600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55</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定44065注水站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w:t>
                  </w:r>
                </w:p>
              </w:tc>
              <w:tc>
                <w:tcPr>
                  <w:tcW w:w="492"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56</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定44089注水站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w:t>
                  </w:r>
                </w:p>
              </w:tc>
              <w:tc>
                <w:tcPr>
                  <w:tcW w:w="492"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57</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定4466注水站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w:t>
                  </w:r>
                </w:p>
              </w:tc>
              <w:tc>
                <w:tcPr>
                  <w:tcW w:w="492"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58</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定4570注水站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w:t>
                  </w:r>
                </w:p>
              </w:tc>
              <w:tc>
                <w:tcPr>
                  <w:tcW w:w="492"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078" w:type="pct"/>
                  <w:gridSpan w:val="4"/>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小计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15510</w:t>
                  </w:r>
                </w:p>
              </w:tc>
              <w:tc>
                <w:tcPr>
                  <w:tcW w:w="58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10060</w:t>
                  </w:r>
                </w:p>
              </w:tc>
              <w:tc>
                <w:tcPr>
                  <w:tcW w:w="492"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5450</w:t>
                  </w:r>
                </w:p>
              </w:tc>
              <w:tc>
                <w:tcPr>
                  <w:tcW w:w="58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1813</w:t>
                  </w:r>
                </w:p>
              </w:tc>
              <w:tc>
                <w:tcPr>
                  <w:tcW w:w="723"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3637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59</w:t>
                  </w:r>
                </w:p>
              </w:tc>
              <w:tc>
                <w:tcPr>
                  <w:tcW w:w="530" w:type="pct"/>
                  <w:vMerge w:val="restar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五兴庄采油队五兴庄油区</w:t>
                  </w: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卜掌输转站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restar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1644</w:t>
                  </w:r>
                </w:p>
              </w:tc>
              <w:tc>
                <w:tcPr>
                  <w:tcW w:w="492" w:type="pct"/>
                  <w:vMerge w:val="restar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1356</w:t>
                  </w:r>
                </w:p>
              </w:tc>
              <w:tc>
                <w:tcPr>
                  <w:tcW w:w="585" w:type="pct"/>
                  <w:vMerge w:val="restar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371</w:t>
                  </w:r>
                </w:p>
              </w:tc>
              <w:tc>
                <w:tcPr>
                  <w:tcW w:w="723" w:type="pct"/>
                  <w:vMerge w:val="restar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1185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60</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3215注水站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61</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定3371注水站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62</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定3942注水站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63</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定3000注水站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64</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定3276注水站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65</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定3233注水站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300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66</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五兴庄集输站</w:t>
                  </w:r>
                </w:p>
              </w:tc>
              <w:tc>
                <w:tcPr>
                  <w:tcW w:w="427"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1000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67</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vAlign w:val="center"/>
                </w:tcPr>
                <w:p>
                  <w:pPr>
                    <w:widowControl/>
                    <w:adjustRightInd w:val="0"/>
                    <w:snapToGrid w:val="0"/>
                    <w:jc w:val="center"/>
                    <w:textAlignment w:val="center"/>
                    <w:rPr>
                      <w:color w:val="auto"/>
                      <w:kern w:val="0"/>
                      <w:szCs w:val="21"/>
                    </w:rPr>
                  </w:pPr>
                  <w:r>
                    <w:rPr>
                      <w:color w:val="auto"/>
                      <w:kern w:val="0"/>
                      <w:szCs w:val="21"/>
                    </w:rPr>
                    <w:t>定3131注水站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492"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68</w:t>
                  </w:r>
                </w:p>
              </w:tc>
              <w:tc>
                <w:tcPr>
                  <w:tcW w:w="530"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824"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定3332注水站</w:t>
                  </w:r>
                </w:p>
              </w:tc>
              <w:tc>
                <w:tcPr>
                  <w:tcW w:w="427"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清水</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w:t>
                  </w:r>
                </w:p>
              </w:tc>
              <w:tc>
                <w:tcPr>
                  <w:tcW w:w="492" w:type="pct"/>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200</w:t>
                  </w:r>
                </w:p>
              </w:tc>
              <w:tc>
                <w:tcPr>
                  <w:tcW w:w="585"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c>
                <w:tcPr>
                  <w:tcW w:w="723" w:type="pct"/>
                  <w:vMerge w:val="continue"/>
                  <w:tcBorders>
                    <w:tl2br w:val="nil"/>
                    <w:tr2bl w:val="nil"/>
                  </w:tcBorders>
                  <w:noWrap/>
                  <w:vAlign w:val="center"/>
                </w:tcPr>
                <w:p>
                  <w:pPr>
                    <w:widowControl/>
                    <w:adjustRightInd w:val="0"/>
                    <w:snapToGrid w:val="0"/>
                    <w:jc w:val="center"/>
                    <w:textAlignment w:val="center"/>
                    <w:rPr>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078" w:type="pct"/>
                  <w:gridSpan w:val="4"/>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小计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3200</w:t>
                  </w:r>
                </w:p>
              </w:tc>
              <w:tc>
                <w:tcPr>
                  <w:tcW w:w="58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1644</w:t>
                  </w:r>
                </w:p>
              </w:tc>
              <w:tc>
                <w:tcPr>
                  <w:tcW w:w="492"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1556</w:t>
                  </w:r>
                </w:p>
              </w:tc>
              <w:tc>
                <w:tcPr>
                  <w:tcW w:w="58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371</w:t>
                  </w:r>
                </w:p>
              </w:tc>
              <w:tc>
                <w:tcPr>
                  <w:tcW w:w="723"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1185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 w:hRule="atLeast"/>
              </w:trPr>
              <w:tc>
                <w:tcPr>
                  <w:tcW w:w="2078" w:type="pct"/>
                  <w:gridSpan w:val="4"/>
                  <w:tcBorders>
                    <w:tl2br w:val="nil"/>
                    <w:tr2bl w:val="nil"/>
                  </w:tcBorders>
                  <w:noWrap/>
                  <w:vAlign w:val="center"/>
                </w:tcPr>
                <w:p>
                  <w:pPr>
                    <w:widowControl/>
                    <w:adjustRightInd w:val="0"/>
                    <w:snapToGrid w:val="0"/>
                    <w:jc w:val="center"/>
                    <w:textAlignment w:val="center"/>
                    <w:rPr>
                      <w:color w:val="auto"/>
                      <w:kern w:val="0"/>
                      <w:szCs w:val="21"/>
                    </w:rPr>
                  </w:pPr>
                  <w:r>
                    <w:rPr>
                      <w:color w:val="auto"/>
                      <w:kern w:val="0"/>
                      <w:szCs w:val="21"/>
                    </w:rPr>
                    <w:t>合计</w:t>
                  </w:r>
                </w:p>
              </w:tc>
              <w:tc>
                <w:tcPr>
                  <w:tcW w:w="53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28550</w:t>
                  </w:r>
                </w:p>
              </w:tc>
              <w:tc>
                <w:tcPr>
                  <w:tcW w:w="58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15163</w:t>
                  </w:r>
                </w:p>
              </w:tc>
              <w:tc>
                <w:tcPr>
                  <w:tcW w:w="492"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13387</w:t>
                  </w:r>
                </w:p>
              </w:tc>
              <w:tc>
                <w:tcPr>
                  <w:tcW w:w="585"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2574</w:t>
                  </w:r>
                </w:p>
              </w:tc>
              <w:tc>
                <w:tcPr>
                  <w:tcW w:w="723" w:type="pct"/>
                  <w:tcBorders>
                    <w:tl2br w:val="nil"/>
                    <w:tr2bl w:val="nil"/>
                  </w:tcBorders>
                  <w:noWrap/>
                  <w:vAlign w:val="center"/>
                </w:tcPr>
                <w:p>
                  <w:pPr>
                    <w:widowControl/>
                    <w:adjustRightInd w:val="0"/>
                    <w:snapToGrid w:val="0"/>
                    <w:jc w:val="center"/>
                    <w:textAlignment w:val="center"/>
                    <w:rPr>
                      <w:color w:val="auto"/>
                      <w:kern w:val="0"/>
                      <w:szCs w:val="21"/>
                    </w:rPr>
                  </w:pPr>
                  <w:r>
                    <w:rPr>
                      <w:rFonts w:hint="eastAsia"/>
                      <w:color w:val="auto"/>
                      <w:kern w:val="0"/>
                      <w:szCs w:val="21"/>
                    </w:rPr>
                    <w:t>10813</w:t>
                  </w:r>
                </w:p>
              </w:tc>
            </w:tr>
          </w:tbl>
          <w:p>
            <w:pPr>
              <w:pStyle w:val="9"/>
              <w:ind w:firstLine="180"/>
              <w:rPr>
                <w:color w:val="auto"/>
              </w:rPr>
            </w:pPr>
          </w:p>
        </w:tc>
      </w:tr>
    </w:tbl>
    <w:p>
      <w:pPr>
        <w:pStyle w:val="30"/>
        <w:jc w:val="both"/>
        <w:rPr>
          <w:rFonts w:ascii="Times New Roman" w:hAnsi="Times New Roman" w:eastAsia="黑体"/>
          <w:snapToGrid w:val="0"/>
          <w:color w:val="auto"/>
          <w:szCs w:val="24"/>
        </w:rPr>
        <w:sectPr>
          <w:pgSz w:w="11906" w:h="16838"/>
          <w:pgMar w:top="1588" w:right="1531" w:bottom="1418" w:left="1531" w:header="851" w:footer="851" w:gutter="0"/>
          <w:cols w:space="720" w:num="1"/>
          <w:docGrid w:linePitch="312" w:charSpace="0"/>
        </w:sectPr>
      </w:pPr>
    </w:p>
    <w:p>
      <w:pPr>
        <w:pStyle w:val="3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2"/>
        <w:gridCol w:w="83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Align w:val="center"/>
          </w:tcPr>
          <w:p>
            <w:pPr>
              <w:adjustRightInd w:val="0"/>
              <w:snapToGrid w:val="0"/>
              <w:jc w:val="center"/>
              <w:rPr>
                <w:color w:val="auto"/>
                <w:kern w:val="0"/>
                <w:sz w:val="24"/>
              </w:rPr>
            </w:pPr>
            <w:r>
              <w:rPr>
                <w:color w:val="auto"/>
                <w:kern w:val="0"/>
                <w:sz w:val="24"/>
              </w:rPr>
              <w:t>区域</w:t>
            </w:r>
          </w:p>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质量</w:t>
            </w:r>
          </w:p>
          <w:p>
            <w:pPr>
              <w:adjustRightInd w:val="0"/>
              <w:snapToGrid w:val="0"/>
              <w:jc w:val="center"/>
              <w:rPr>
                <w:color w:val="auto"/>
                <w:kern w:val="0"/>
                <w:sz w:val="24"/>
              </w:rPr>
            </w:pPr>
            <w:r>
              <w:rPr>
                <w:color w:val="auto"/>
                <w:kern w:val="0"/>
                <w:sz w:val="24"/>
              </w:rPr>
              <w:t>现状</w:t>
            </w:r>
          </w:p>
        </w:tc>
        <w:tc>
          <w:tcPr>
            <w:tcW w:w="8331" w:type="dxa"/>
            <w:vAlign w:val="center"/>
          </w:tcPr>
          <w:p>
            <w:pPr>
              <w:spacing w:line="360" w:lineRule="auto"/>
              <w:ind w:firstLine="482" w:firstLineChars="200"/>
              <w:outlineLvl w:val="0"/>
              <w:rPr>
                <w:b/>
                <w:bCs/>
                <w:color w:val="auto"/>
                <w:sz w:val="24"/>
              </w:rPr>
            </w:pPr>
            <w:r>
              <w:rPr>
                <w:b/>
                <w:bCs/>
                <w:color w:val="auto"/>
                <w:sz w:val="24"/>
              </w:rPr>
              <w:t>1、大气环境</w:t>
            </w:r>
          </w:p>
          <w:p>
            <w:pPr>
              <w:spacing w:line="360" w:lineRule="auto"/>
              <w:ind w:firstLine="480" w:firstLineChars="200"/>
              <w:rPr>
                <w:color w:val="auto"/>
                <w:sz w:val="24"/>
              </w:rPr>
            </w:pPr>
            <w:r>
              <w:rPr>
                <w:color w:val="auto"/>
                <w:sz w:val="24"/>
              </w:rPr>
              <w:t>⑴ 常规污染物</w:t>
            </w:r>
          </w:p>
          <w:p>
            <w:pPr>
              <w:spacing w:line="360" w:lineRule="auto"/>
              <w:ind w:firstLine="480" w:firstLineChars="200"/>
              <w:rPr>
                <w:color w:val="auto"/>
                <w:sz w:val="24"/>
              </w:rPr>
            </w:pPr>
            <w:r>
              <w:rPr>
                <w:color w:val="auto"/>
                <w:sz w:val="24"/>
              </w:rPr>
              <w:t>根据陕西省生态环境厅办公室于202</w:t>
            </w:r>
            <w:r>
              <w:rPr>
                <w:rFonts w:hint="eastAsia"/>
                <w:color w:val="auto"/>
                <w:sz w:val="24"/>
                <w:lang w:val="en-US" w:eastAsia="zh-CN"/>
              </w:rPr>
              <w:t>4</w:t>
            </w:r>
            <w:r>
              <w:rPr>
                <w:color w:val="auto"/>
                <w:sz w:val="24"/>
              </w:rPr>
              <w:t>年1月</w:t>
            </w:r>
            <w:r>
              <w:rPr>
                <w:rFonts w:hint="eastAsia"/>
                <w:color w:val="auto"/>
                <w:sz w:val="24"/>
              </w:rPr>
              <w:t>1</w:t>
            </w:r>
            <w:r>
              <w:rPr>
                <w:rFonts w:hint="eastAsia"/>
                <w:color w:val="auto"/>
                <w:sz w:val="24"/>
                <w:lang w:val="en-US" w:eastAsia="zh-CN"/>
              </w:rPr>
              <w:t>9</w:t>
            </w:r>
            <w:r>
              <w:rPr>
                <w:color w:val="auto"/>
                <w:sz w:val="24"/>
              </w:rPr>
              <w:t>日发布的《环保快报》，</w:t>
            </w:r>
            <w:r>
              <w:rPr>
                <w:rFonts w:hint="eastAsia"/>
                <w:color w:val="auto"/>
                <w:sz w:val="24"/>
              </w:rPr>
              <w:t>定边县</w:t>
            </w:r>
            <w:r>
              <w:rPr>
                <w:color w:val="auto"/>
                <w:sz w:val="24"/>
              </w:rPr>
              <w:t>202</w:t>
            </w:r>
            <w:r>
              <w:rPr>
                <w:rFonts w:hint="eastAsia"/>
                <w:color w:val="auto"/>
                <w:sz w:val="24"/>
                <w:lang w:val="en-US" w:eastAsia="zh-CN"/>
              </w:rPr>
              <w:t>3</w:t>
            </w:r>
            <w:r>
              <w:rPr>
                <w:color w:val="auto"/>
                <w:sz w:val="24"/>
              </w:rPr>
              <w:t>年1~12月空气质量状况统计结果见表</w:t>
            </w:r>
            <w:r>
              <w:rPr>
                <w:rFonts w:hint="eastAsia"/>
                <w:color w:val="auto"/>
                <w:sz w:val="24"/>
              </w:rPr>
              <w:t>3-1</w:t>
            </w:r>
            <w:r>
              <w:rPr>
                <w:color w:val="auto"/>
                <w:sz w:val="24"/>
              </w:rPr>
              <w:t>。</w:t>
            </w:r>
          </w:p>
          <w:p>
            <w:pPr>
              <w:tabs>
                <w:tab w:val="left" w:pos="1596"/>
                <w:tab w:val="left" w:leader="middleDot" w:pos="8399"/>
              </w:tabs>
              <w:snapToGrid w:val="0"/>
              <w:spacing w:line="360" w:lineRule="auto"/>
              <w:ind w:firstLine="12" w:firstLineChars="6"/>
              <w:jc w:val="center"/>
              <w:rPr>
                <w:rFonts w:eastAsia="黑体"/>
                <w:color w:val="auto"/>
              </w:rPr>
            </w:pPr>
            <w:r>
              <w:rPr>
                <w:rFonts w:eastAsia="黑体"/>
                <w:color w:val="auto"/>
              </w:rPr>
              <w:t>表</w:t>
            </w:r>
            <w:r>
              <w:rPr>
                <w:rFonts w:hint="eastAsia" w:eastAsia="黑体"/>
                <w:color w:val="auto"/>
              </w:rPr>
              <w:t>3-1</w:t>
            </w:r>
            <w:r>
              <w:rPr>
                <w:rFonts w:eastAsia="黑体"/>
                <w:color w:val="auto"/>
              </w:rPr>
              <w:t xml:space="preserve">  </w:t>
            </w:r>
            <w:r>
              <w:rPr>
                <w:rFonts w:hint="eastAsia" w:eastAsia="黑体"/>
                <w:color w:val="auto"/>
              </w:rPr>
              <w:t>定边县</w:t>
            </w:r>
            <w:r>
              <w:rPr>
                <w:rFonts w:eastAsia="黑体"/>
                <w:color w:val="auto"/>
              </w:rPr>
              <w:t>202</w:t>
            </w:r>
            <w:r>
              <w:rPr>
                <w:rFonts w:hint="eastAsia" w:eastAsia="黑体"/>
                <w:color w:val="auto"/>
                <w:lang w:val="en-US" w:eastAsia="zh-CN"/>
              </w:rPr>
              <w:t>3</w:t>
            </w:r>
            <w:r>
              <w:rPr>
                <w:rFonts w:eastAsia="黑体"/>
                <w:color w:val="auto"/>
              </w:rPr>
              <w:t>年1~12月空气质量状况统计表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244"/>
              <w:gridCol w:w="893"/>
              <w:gridCol w:w="2606"/>
              <w:gridCol w:w="841"/>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pPr>
                    <w:widowControl/>
                    <w:adjustRightInd w:val="0"/>
                    <w:snapToGrid w:val="0"/>
                    <w:jc w:val="center"/>
                    <w:textAlignment w:val="center"/>
                    <w:rPr>
                      <w:color w:val="auto"/>
                      <w:kern w:val="0"/>
                      <w:szCs w:val="21"/>
                    </w:rPr>
                  </w:pPr>
                  <w:r>
                    <w:rPr>
                      <w:color w:val="auto"/>
                      <w:kern w:val="0"/>
                      <w:szCs w:val="21"/>
                    </w:rPr>
                    <w:t>污染物</w:t>
                  </w:r>
                </w:p>
              </w:tc>
              <w:tc>
                <w:tcPr>
                  <w:tcW w:w="2244" w:type="dxa"/>
                  <w:vAlign w:val="center"/>
                </w:tcPr>
                <w:p>
                  <w:pPr>
                    <w:widowControl/>
                    <w:adjustRightInd w:val="0"/>
                    <w:snapToGrid w:val="0"/>
                    <w:jc w:val="center"/>
                    <w:textAlignment w:val="center"/>
                    <w:rPr>
                      <w:color w:val="auto"/>
                      <w:kern w:val="0"/>
                      <w:szCs w:val="21"/>
                    </w:rPr>
                  </w:pPr>
                  <w:r>
                    <w:rPr>
                      <w:color w:val="auto"/>
                      <w:kern w:val="0"/>
                      <w:szCs w:val="21"/>
                    </w:rPr>
                    <w:t>评价指标</w:t>
                  </w:r>
                </w:p>
              </w:tc>
              <w:tc>
                <w:tcPr>
                  <w:tcW w:w="893" w:type="dxa"/>
                  <w:vAlign w:val="center"/>
                </w:tcPr>
                <w:p>
                  <w:pPr>
                    <w:widowControl/>
                    <w:adjustRightInd w:val="0"/>
                    <w:snapToGrid w:val="0"/>
                    <w:jc w:val="center"/>
                    <w:textAlignment w:val="center"/>
                    <w:rPr>
                      <w:color w:val="auto"/>
                      <w:kern w:val="0"/>
                      <w:szCs w:val="21"/>
                    </w:rPr>
                  </w:pPr>
                  <w:r>
                    <w:rPr>
                      <w:color w:val="auto"/>
                      <w:kern w:val="0"/>
                      <w:szCs w:val="21"/>
                    </w:rPr>
                    <w:t>现状值</w:t>
                  </w:r>
                </w:p>
              </w:tc>
              <w:tc>
                <w:tcPr>
                  <w:tcW w:w="2606" w:type="dxa"/>
                  <w:vAlign w:val="center"/>
                </w:tcPr>
                <w:p>
                  <w:pPr>
                    <w:widowControl/>
                    <w:adjustRightInd w:val="0"/>
                    <w:snapToGrid w:val="0"/>
                    <w:jc w:val="center"/>
                    <w:textAlignment w:val="center"/>
                    <w:rPr>
                      <w:color w:val="auto"/>
                      <w:kern w:val="0"/>
                      <w:szCs w:val="21"/>
                    </w:rPr>
                  </w:pPr>
                  <w:r>
                    <w:rPr>
                      <w:color w:val="auto"/>
                      <w:kern w:val="0"/>
                      <w:szCs w:val="21"/>
                    </w:rPr>
                    <w:t>《环境空气质量标准》（GB3095-2012）二级标准</w:t>
                  </w:r>
                </w:p>
              </w:tc>
              <w:tc>
                <w:tcPr>
                  <w:tcW w:w="841" w:type="dxa"/>
                  <w:vAlign w:val="center"/>
                </w:tcPr>
                <w:p>
                  <w:pPr>
                    <w:widowControl/>
                    <w:adjustRightInd w:val="0"/>
                    <w:snapToGrid w:val="0"/>
                    <w:jc w:val="center"/>
                    <w:textAlignment w:val="center"/>
                    <w:rPr>
                      <w:color w:val="auto"/>
                      <w:kern w:val="0"/>
                      <w:szCs w:val="21"/>
                    </w:rPr>
                  </w:pPr>
                  <w:r>
                    <w:rPr>
                      <w:color w:val="auto"/>
                      <w:kern w:val="0"/>
                      <w:szCs w:val="21"/>
                    </w:rPr>
                    <w:t>超标倍数</w:t>
                  </w:r>
                </w:p>
              </w:tc>
              <w:tc>
                <w:tcPr>
                  <w:tcW w:w="731" w:type="dxa"/>
                  <w:vAlign w:val="center"/>
                </w:tcPr>
                <w:p>
                  <w:pPr>
                    <w:widowControl/>
                    <w:adjustRightInd w:val="0"/>
                    <w:snapToGrid w:val="0"/>
                    <w:jc w:val="center"/>
                    <w:textAlignment w:val="center"/>
                    <w:rPr>
                      <w:color w:val="auto"/>
                      <w:kern w:val="0"/>
                      <w:szCs w:val="21"/>
                    </w:rPr>
                  </w:pPr>
                  <w:r>
                    <w:rPr>
                      <w:color w:val="auto"/>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pPr>
                    <w:widowControl/>
                    <w:adjustRightInd w:val="0"/>
                    <w:snapToGrid w:val="0"/>
                    <w:jc w:val="center"/>
                    <w:textAlignment w:val="center"/>
                    <w:rPr>
                      <w:color w:val="auto"/>
                      <w:kern w:val="0"/>
                      <w:szCs w:val="21"/>
                    </w:rPr>
                  </w:pPr>
                  <w:r>
                    <w:rPr>
                      <w:color w:val="auto"/>
                      <w:kern w:val="0"/>
                      <w:szCs w:val="21"/>
                    </w:rPr>
                    <w:t>SO</w:t>
                  </w:r>
                  <w:r>
                    <w:rPr>
                      <w:color w:val="auto"/>
                      <w:kern w:val="0"/>
                      <w:szCs w:val="21"/>
                      <w:vertAlign w:val="subscript"/>
                    </w:rPr>
                    <w:t>2</w:t>
                  </w:r>
                </w:p>
              </w:tc>
              <w:tc>
                <w:tcPr>
                  <w:tcW w:w="2244" w:type="dxa"/>
                  <w:vAlign w:val="center"/>
                </w:tcPr>
                <w:p>
                  <w:pPr>
                    <w:widowControl/>
                    <w:adjustRightInd w:val="0"/>
                    <w:snapToGrid w:val="0"/>
                    <w:jc w:val="center"/>
                    <w:textAlignment w:val="center"/>
                    <w:rPr>
                      <w:color w:val="auto"/>
                      <w:kern w:val="0"/>
                      <w:szCs w:val="21"/>
                    </w:rPr>
                  </w:pPr>
                  <w:r>
                    <w:rPr>
                      <w:color w:val="auto"/>
                      <w:kern w:val="0"/>
                      <w:szCs w:val="21"/>
                    </w:rPr>
                    <w:t>年平均质量浓度（μg/m</w:t>
                  </w:r>
                  <w:r>
                    <w:rPr>
                      <w:color w:val="auto"/>
                      <w:kern w:val="0"/>
                      <w:szCs w:val="21"/>
                      <w:vertAlign w:val="superscript"/>
                    </w:rPr>
                    <w:t>3</w:t>
                  </w:r>
                  <w:r>
                    <w:rPr>
                      <w:color w:val="auto"/>
                      <w:kern w:val="0"/>
                      <w:szCs w:val="21"/>
                    </w:rPr>
                    <w:t>）</w:t>
                  </w:r>
                </w:p>
              </w:tc>
              <w:tc>
                <w:tcPr>
                  <w:tcW w:w="893" w:type="dxa"/>
                  <w:vAlign w:val="center"/>
                </w:tcPr>
                <w:p>
                  <w:pPr>
                    <w:widowControl/>
                    <w:adjustRightInd w:val="0"/>
                    <w:snapToGrid w:val="0"/>
                    <w:jc w:val="center"/>
                    <w:textAlignment w:val="center"/>
                    <w:rPr>
                      <w:rFonts w:hint="eastAsia" w:eastAsia="宋体"/>
                      <w:color w:val="auto"/>
                      <w:kern w:val="0"/>
                      <w:szCs w:val="21"/>
                      <w:lang w:val="en-US" w:eastAsia="zh-CN"/>
                    </w:rPr>
                  </w:pPr>
                  <w:r>
                    <w:rPr>
                      <w:rFonts w:hint="eastAsia"/>
                      <w:color w:val="auto"/>
                      <w:kern w:val="0"/>
                      <w:szCs w:val="21"/>
                      <w:lang w:val="en-US" w:eastAsia="zh-CN"/>
                    </w:rPr>
                    <w:t>8</w:t>
                  </w:r>
                </w:p>
              </w:tc>
              <w:tc>
                <w:tcPr>
                  <w:tcW w:w="2606" w:type="dxa"/>
                  <w:vAlign w:val="center"/>
                </w:tcPr>
                <w:p>
                  <w:pPr>
                    <w:widowControl/>
                    <w:adjustRightInd w:val="0"/>
                    <w:snapToGrid w:val="0"/>
                    <w:jc w:val="center"/>
                    <w:textAlignment w:val="center"/>
                    <w:rPr>
                      <w:color w:val="auto"/>
                      <w:kern w:val="0"/>
                      <w:szCs w:val="21"/>
                    </w:rPr>
                  </w:pPr>
                  <w:r>
                    <w:rPr>
                      <w:color w:val="auto"/>
                      <w:kern w:val="0"/>
                      <w:szCs w:val="21"/>
                    </w:rPr>
                    <w:t>60</w:t>
                  </w:r>
                </w:p>
              </w:tc>
              <w:tc>
                <w:tcPr>
                  <w:tcW w:w="841" w:type="dxa"/>
                  <w:vAlign w:val="center"/>
                </w:tcPr>
                <w:p>
                  <w:pPr>
                    <w:widowControl/>
                    <w:adjustRightInd w:val="0"/>
                    <w:snapToGrid w:val="0"/>
                    <w:jc w:val="center"/>
                    <w:textAlignment w:val="center"/>
                    <w:rPr>
                      <w:color w:val="auto"/>
                      <w:kern w:val="0"/>
                      <w:szCs w:val="21"/>
                    </w:rPr>
                  </w:pPr>
                  <w:r>
                    <w:rPr>
                      <w:color w:val="auto"/>
                      <w:kern w:val="0"/>
                      <w:szCs w:val="21"/>
                    </w:rPr>
                    <w:t>/</w:t>
                  </w:r>
                </w:p>
              </w:tc>
              <w:tc>
                <w:tcPr>
                  <w:tcW w:w="731" w:type="dxa"/>
                  <w:vAlign w:val="center"/>
                </w:tcPr>
                <w:p>
                  <w:pPr>
                    <w:widowControl/>
                    <w:adjustRightInd w:val="0"/>
                    <w:snapToGrid w:val="0"/>
                    <w:jc w:val="center"/>
                    <w:textAlignment w:val="center"/>
                    <w:rPr>
                      <w:color w:val="auto"/>
                      <w:kern w:val="0"/>
                      <w:szCs w:val="21"/>
                    </w:rPr>
                  </w:pPr>
                  <w:r>
                    <w:rPr>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pPr>
                    <w:widowControl/>
                    <w:adjustRightInd w:val="0"/>
                    <w:snapToGrid w:val="0"/>
                    <w:jc w:val="center"/>
                    <w:textAlignment w:val="center"/>
                    <w:rPr>
                      <w:color w:val="auto"/>
                      <w:kern w:val="0"/>
                      <w:szCs w:val="21"/>
                    </w:rPr>
                  </w:pPr>
                  <w:r>
                    <w:rPr>
                      <w:color w:val="auto"/>
                      <w:kern w:val="0"/>
                      <w:szCs w:val="21"/>
                    </w:rPr>
                    <w:t>NO</w:t>
                  </w:r>
                  <w:r>
                    <w:rPr>
                      <w:color w:val="auto"/>
                      <w:kern w:val="0"/>
                      <w:szCs w:val="21"/>
                      <w:vertAlign w:val="subscript"/>
                    </w:rPr>
                    <w:t>2</w:t>
                  </w:r>
                </w:p>
              </w:tc>
              <w:tc>
                <w:tcPr>
                  <w:tcW w:w="2244" w:type="dxa"/>
                  <w:vAlign w:val="center"/>
                </w:tcPr>
                <w:p>
                  <w:pPr>
                    <w:widowControl/>
                    <w:adjustRightInd w:val="0"/>
                    <w:snapToGrid w:val="0"/>
                    <w:jc w:val="center"/>
                    <w:textAlignment w:val="center"/>
                    <w:rPr>
                      <w:color w:val="auto"/>
                      <w:kern w:val="0"/>
                      <w:szCs w:val="21"/>
                    </w:rPr>
                  </w:pPr>
                  <w:r>
                    <w:rPr>
                      <w:color w:val="auto"/>
                      <w:kern w:val="0"/>
                      <w:szCs w:val="21"/>
                    </w:rPr>
                    <w:t>年平均质量浓度（μg/m</w:t>
                  </w:r>
                  <w:r>
                    <w:rPr>
                      <w:color w:val="auto"/>
                      <w:kern w:val="0"/>
                      <w:szCs w:val="21"/>
                      <w:vertAlign w:val="superscript"/>
                    </w:rPr>
                    <w:t>3</w:t>
                  </w:r>
                  <w:r>
                    <w:rPr>
                      <w:color w:val="auto"/>
                      <w:kern w:val="0"/>
                      <w:szCs w:val="21"/>
                    </w:rPr>
                    <w:t>）</w:t>
                  </w:r>
                </w:p>
              </w:tc>
              <w:tc>
                <w:tcPr>
                  <w:tcW w:w="893" w:type="dxa"/>
                  <w:vAlign w:val="center"/>
                </w:tcPr>
                <w:p>
                  <w:pPr>
                    <w:widowControl/>
                    <w:adjustRightInd w:val="0"/>
                    <w:snapToGrid w:val="0"/>
                    <w:jc w:val="center"/>
                    <w:textAlignment w:val="center"/>
                    <w:rPr>
                      <w:rFonts w:hint="eastAsia" w:eastAsia="宋体"/>
                      <w:color w:val="auto"/>
                      <w:kern w:val="0"/>
                      <w:szCs w:val="21"/>
                      <w:lang w:val="en-US" w:eastAsia="zh-CN"/>
                    </w:rPr>
                  </w:pPr>
                  <w:r>
                    <w:rPr>
                      <w:rFonts w:hint="eastAsia"/>
                      <w:color w:val="auto"/>
                      <w:kern w:val="0"/>
                      <w:szCs w:val="21"/>
                    </w:rPr>
                    <w:t>2</w:t>
                  </w:r>
                  <w:r>
                    <w:rPr>
                      <w:rFonts w:hint="eastAsia"/>
                      <w:color w:val="auto"/>
                      <w:kern w:val="0"/>
                      <w:szCs w:val="21"/>
                      <w:lang w:val="en-US" w:eastAsia="zh-CN"/>
                    </w:rPr>
                    <w:t>3</w:t>
                  </w:r>
                </w:p>
              </w:tc>
              <w:tc>
                <w:tcPr>
                  <w:tcW w:w="2606" w:type="dxa"/>
                  <w:vAlign w:val="center"/>
                </w:tcPr>
                <w:p>
                  <w:pPr>
                    <w:widowControl/>
                    <w:adjustRightInd w:val="0"/>
                    <w:snapToGrid w:val="0"/>
                    <w:jc w:val="center"/>
                    <w:textAlignment w:val="center"/>
                    <w:rPr>
                      <w:color w:val="auto"/>
                      <w:kern w:val="0"/>
                      <w:szCs w:val="21"/>
                    </w:rPr>
                  </w:pPr>
                  <w:r>
                    <w:rPr>
                      <w:color w:val="auto"/>
                      <w:kern w:val="0"/>
                      <w:szCs w:val="21"/>
                    </w:rPr>
                    <w:t>40</w:t>
                  </w:r>
                </w:p>
              </w:tc>
              <w:tc>
                <w:tcPr>
                  <w:tcW w:w="841" w:type="dxa"/>
                  <w:vAlign w:val="center"/>
                </w:tcPr>
                <w:p>
                  <w:pPr>
                    <w:widowControl/>
                    <w:adjustRightInd w:val="0"/>
                    <w:snapToGrid w:val="0"/>
                    <w:jc w:val="center"/>
                    <w:textAlignment w:val="center"/>
                    <w:rPr>
                      <w:color w:val="auto"/>
                      <w:kern w:val="0"/>
                      <w:szCs w:val="21"/>
                    </w:rPr>
                  </w:pPr>
                  <w:r>
                    <w:rPr>
                      <w:color w:val="auto"/>
                      <w:kern w:val="0"/>
                      <w:szCs w:val="21"/>
                    </w:rPr>
                    <w:t>/</w:t>
                  </w:r>
                </w:p>
              </w:tc>
              <w:tc>
                <w:tcPr>
                  <w:tcW w:w="731" w:type="dxa"/>
                  <w:vAlign w:val="center"/>
                </w:tcPr>
                <w:p>
                  <w:pPr>
                    <w:widowControl/>
                    <w:adjustRightInd w:val="0"/>
                    <w:snapToGrid w:val="0"/>
                    <w:jc w:val="center"/>
                    <w:textAlignment w:val="center"/>
                    <w:rPr>
                      <w:color w:val="auto"/>
                      <w:kern w:val="0"/>
                      <w:szCs w:val="21"/>
                    </w:rPr>
                  </w:pPr>
                  <w:r>
                    <w:rPr>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pPr>
                    <w:widowControl/>
                    <w:adjustRightInd w:val="0"/>
                    <w:snapToGrid w:val="0"/>
                    <w:jc w:val="center"/>
                    <w:textAlignment w:val="center"/>
                    <w:rPr>
                      <w:color w:val="auto"/>
                      <w:kern w:val="0"/>
                      <w:szCs w:val="21"/>
                    </w:rPr>
                  </w:pPr>
                  <w:r>
                    <w:rPr>
                      <w:color w:val="auto"/>
                      <w:kern w:val="0"/>
                      <w:szCs w:val="21"/>
                    </w:rPr>
                    <w:t>PM</w:t>
                  </w:r>
                  <w:r>
                    <w:rPr>
                      <w:color w:val="auto"/>
                      <w:kern w:val="0"/>
                      <w:szCs w:val="21"/>
                      <w:vertAlign w:val="subscript"/>
                    </w:rPr>
                    <w:t>10</w:t>
                  </w:r>
                </w:p>
              </w:tc>
              <w:tc>
                <w:tcPr>
                  <w:tcW w:w="2244" w:type="dxa"/>
                  <w:vAlign w:val="center"/>
                </w:tcPr>
                <w:p>
                  <w:pPr>
                    <w:widowControl/>
                    <w:adjustRightInd w:val="0"/>
                    <w:snapToGrid w:val="0"/>
                    <w:jc w:val="center"/>
                    <w:textAlignment w:val="center"/>
                    <w:rPr>
                      <w:color w:val="auto"/>
                      <w:kern w:val="0"/>
                      <w:szCs w:val="21"/>
                    </w:rPr>
                  </w:pPr>
                  <w:r>
                    <w:rPr>
                      <w:color w:val="auto"/>
                      <w:kern w:val="0"/>
                      <w:szCs w:val="21"/>
                    </w:rPr>
                    <w:t>年平均质量浓度（μg/m</w:t>
                  </w:r>
                  <w:r>
                    <w:rPr>
                      <w:color w:val="auto"/>
                      <w:kern w:val="0"/>
                      <w:szCs w:val="21"/>
                      <w:vertAlign w:val="superscript"/>
                    </w:rPr>
                    <w:t>3</w:t>
                  </w:r>
                  <w:r>
                    <w:rPr>
                      <w:color w:val="auto"/>
                      <w:kern w:val="0"/>
                      <w:szCs w:val="21"/>
                    </w:rPr>
                    <w:t>）</w:t>
                  </w:r>
                </w:p>
              </w:tc>
              <w:tc>
                <w:tcPr>
                  <w:tcW w:w="893" w:type="dxa"/>
                  <w:vAlign w:val="center"/>
                </w:tcPr>
                <w:p>
                  <w:pPr>
                    <w:widowControl/>
                    <w:adjustRightInd w:val="0"/>
                    <w:snapToGrid w:val="0"/>
                    <w:jc w:val="center"/>
                    <w:textAlignment w:val="center"/>
                    <w:rPr>
                      <w:rFonts w:hint="default" w:eastAsia="宋体"/>
                      <w:color w:val="auto"/>
                      <w:kern w:val="0"/>
                      <w:szCs w:val="21"/>
                      <w:lang w:val="en-US" w:eastAsia="zh-CN"/>
                    </w:rPr>
                  </w:pPr>
                  <w:r>
                    <w:rPr>
                      <w:rFonts w:hint="eastAsia"/>
                      <w:color w:val="auto"/>
                      <w:kern w:val="0"/>
                      <w:szCs w:val="21"/>
                      <w:lang w:val="en-US" w:eastAsia="zh-CN"/>
                    </w:rPr>
                    <w:t>55</w:t>
                  </w:r>
                </w:p>
              </w:tc>
              <w:tc>
                <w:tcPr>
                  <w:tcW w:w="2606" w:type="dxa"/>
                  <w:vAlign w:val="center"/>
                </w:tcPr>
                <w:p>
                  <w:pPr>
                    <w:widowControl/>
                    <w:adjustRightInd w:val="0"/>
                    <w:snapToGrid w:val="0"/>
                    <w:jc w:val="center"/>
                    <w:textAlignment w:val="center"/>
                    <w:rPr>
                      <w:color w:val="auto"/>
                      <w:kern w:val="0"/>
                      <w:szCs w:val="21"/>
                    </w:rPr>
                  </w:pPr>
                  <w:r>
                    <w:rPr>
                      <w:color w:val="auto"/>
                      <w:kern w:val="0"/>
                      <w:szCs w:val="21"/>
                    </w:rPr>
                    <w:t>70</w:t>
                  </w:r>
                </w:p>
              </w:tc>
              <w:tc>
                <w:tcPr>
                  <w:tcW w:w="841" w:type="dxa"/>
                  <w:vAlign w:val="center"/>
                </w:tcPr>
                <w:p>
                  <w:pPr>
                    <w:widowControl/>
                    <w:adjustRightInd w:val="0"/>
                    <w:snapToGrid w:val="0"/>
                    <w:jc w:val="center"/>
                    <w:textAlignment w:val="center"/>
                    <w:rPr>
                      <w:color w:val="auto"/>
                      <w:kern w:val="0"/>
                      <w:szCs w:val="21"/>
                    </w:rPr>
                  </w:pPr>
                  <w:r>
                    <w:rPr>
                      <w:color w:val="auto"/>
                      <w:kern w:val="0"/>
                      <w:szCs w:val="21"/>
                    </w:rPr>
                    <w:t>/</w:t>
                  </w:r>
                </w:p>
              </w:tc>
              <w:tc>
                <w:tcPr>
                  <w:tcW w:w="731" w:type="dxa"/>
                  <w:vAlign w:val="center"/>
                </w:tcPr>
                <w:p>
                  <w:pPr>
                    <w:widowControl/>
                    <w:adjustRightInd w:val="0"/>
                    <w:snapToGrid w:val="0"/>
                    <w:jc w:val="center"/>
                    <w:textAlignment w:val="center"/>
                    <w:rPr>
                      <w:color w:val="auto"/>
                      <w:kern w:val="0"/>
                      <w:szCs w:val="21"/>
                    </w:rPr>
                  </w:pPr>
                  <w:r>
                    <w:rPr>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pPr>
                    <w:widowControl/>
                    <w:adjustRightInd w:val="0"/>
                    <w:snapToGrid w:val="0"/>
                    <w:jc w:val="center"/>
                    <w:textAlignment w:val="center"/>
                    <w:rPr>
                      <w:color w:val="auto"/>
                      <w:kern w:val="0"/>
                      <w:szCs w:val="21"/>
                    </w:rPr>
                  </w:pPr>
                  <w:r>
                    <w:rPr>
                      <w:color w:val="auto"/>
                      <w:kern w:val="0"/>
                      <w:szCs w:val="21"/>
                    </w:rPr>
                    <w:t>PM</w:t>
                  </w:r>
                  <w:r>
                    <w:rPr>
                      <w:color w:val="auto"/>
                      <w:kern w:val="0"/>
                      <w:szCs w:val="21"/>
                      <w:vertAlign w:val="subscript"/>
                    </w:rPr>
                    <w:t>2.5</w:t>
                  </w:r>
                </w:p>
              </w:tc>
              <w:tc>
                <w:tcPr>
                  <w:tcW w:w="2244" w:type="dxa"/>
                  <w:vAlign w:val="center"/>
                </w:tcPr>
                <w:p>
                  <w:pPr>
                    <w:widowControl/>
                    <w:adjustRightInd w:val="0"/>
                    <w:snapToGrid w:val="0"/>
                    <w:jc w:val="center"/>
                    <w:textAlignment w:val="center"/>
                    <w:rPr>
                      <w:color w:val="auto"/>
                      <w:kern w:val="0"/>
                      <w:szCs w:val="21"/>
                    </w:rPr>
                  </w:pPr>
                  <w:r>
                    <w:rPr>
                      <w:color w:val="auto"/>
                      <w:kern w:val="0"/>
                      <w:szCs w:val="21"/>
                    </w:rPr>
                    <w:t>年平均质量浓度（μg/m</w:t>
                  </w:r>
                  <w:r>
                    <w:rPr>
                      <w:color w:val="auto"/>
                      <w:kern w:val="0"/>
                      <w:szCs w:val="21"/>
                      <w:vertAlign w:val="superscript"/>
                    </w:rPr>
                    <w:t>3</w:t>
                  </w:r>
                  <w:r>
                    <w:rPr>
                      <w:color w:val="auto"/>
                      <w:kern w:val="0"/>
                      <w:szCs w:val="21"/>
                    </w:rPr>
                    <w:t>）</w:t>
                  </w:r>
                </w:p>
              </w:tc>
              <w:tc>
                <w:tcPr>
                  <w:tcW w:w="893" w:type="dxa"/>
                  <w:vAlign w:val="center"/>
                </w:tcPr>
                <w:p>
                  <w:pPr>
                    <w:widowControl/>
                    <w:adjustRightInd w:val="0"/>
                    <w:snapToGrid w:val="0"/>
                    <w:jc w:val="center"/>
                    <w:textAlignment w:val="center"/>
                    <w:rPr>
                      <w:rFonts w:hint="eastAsia" w:eastAsia="宋体"/>
                      <w:color w:val="auto"/>
                      <w:kern w:val="0"/>
                      <w:szCs w:val="21"/>
                      <w:lang w:val="en-US" w:eastAsia="zh-CN"/>
                    </w:rPr>
                  </w:pPr>
                  <w:r>
                    <w:rPr>
                      <w:rFonts w:hint="eastAsia"/>
                      <w:color w:val="auto"/>
                      <w:kern w:val="0"/>
                      <w:szCs w:val="21"/>
                    </w:rPr>
                    <w:t>2</w:t>
                  </w:r>
                  <w:r>
                    <w:rPr>
                      <w:rFonts w:hint="eastAsia"/>
                      <w:color w:val="auto"/>
                      <w:kern w:val="0"/>
                      <w:szCs w:val="21"/>
                      <w:lang w:val="en-US" w:eastAsia="zh-CN"/>
                    </w:rPr>
                    <w:t>4</w:t>
                  </w:r>
                </w:p>
              </w:tc>
              <w:tc>
                <w:tcPr>
                  <w:tcW w:w="2606" w:type="dxa"/>
                  <w:vAlign w:val="center"/>
                </w:tcPr>
                <w:p>
                  <w:pPr>
                    <w:widowControl/>
                    <w:adjustRightInd w:val="0"/>
                    <w:snapToGrid w:val="0"/>
                    <w:jc w:val="center"/>
                    <w:textAlignment w:val="center"/>
                    <w:rPr>
                      <w:color w:val="auto"/>
                      <w:kern w:val="0"/>
                      <w:szCs w:val="21"/>
                    </w:rPr>
                  </w:pPr>
                  <w:r>
                    <w:rPr>
                      <w:color w:val="auto"/>
                      <w:kern w:val="0"/>
                      <w:szCs w:val="21"/>
                    </w:rPr>
                    <w:t>35</w:t>
                  </w:r>
                </w:p>
              </w:tc>
              <w:tc>
                <w:tcPr>
                  <w:tcW w:w="841" w:type="dxa"/>
                  <w:vAlign w:val="center"/>
                </w:tcPr>
                <w:p>
                  <w:pPr>
                    <w:widowControl/>
                    <w:adjustRightInd w:val="0"/>
                    <w:snapToGrid w:val="0"/>
                    <w:jc w:val="center"/>
                    <w:textAlignment w:val="center"/>
                    <w:rPr>
                      <w:color w:val="auto"/>
                      <w:kern w:val="0"/>
                      <w:szCs w:val="21"/>
                    </w:rPr>
                  </w:pPr>
                  <w:r>
                    <w:rPr>
                      <w:color w:val="auto"/>
                      <w:kern w:val="0"/>
                      <w:szCs w:val="21"/>
                    </w:rPr>
                    <w:t>/</w:t>
                  </w:r>
                </w:p>
              </w:tc>
              <w:tc>
                <w:tcPr>
                  <w:tcW w:w="731" w:type="dxa"/>
                  <w:vAlign w:val="center"/>
                </w:tcPr>
                <w:p>
                  <w:pPr>
                    <w:widowControl/>
                    <w:adjustRightInd w:val="0"/>
                    <w:snapToGrid w:val="0"/>
                    <w:jc w:val="center"/>
                    <w:textAlignment w:val="center"/>
                    <w:rPr>
                      <w:color w:val="auto"/>
                      <w:kern w:val="0"/>
                      <w:szCs w:val="21"/>
                    </w:rPr>
                  </w:pPr>
                  <w:r>
                    <w:rPr>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pPr>
                    <w:widowControl/>
                    <w:adjustRightInd w:val="0"/>
                    <w:snapToGrid w:val="0"/>
                    <w:jc w:val="center"/>
                    <w:textAlignment w:val="center"/>
                    <w:rPr>
                      <w:color w:val="auto"/>
                      <w:kern w:val="0"/>
                      <w:szCs w:val="21"/>
                    </w:rPr>
                  </w:pPr>
                  <w:r>
                    <w:rPr>
                      <w:color w:val="auto"/>
                      <w:kern w:val="0"/>
                      <w:szCs w:val="21"/>
                    </w:rPr>
                    <w:t>CO</w:t>
                  </w:r>
                </w:p>
              </w:tc>
              <w:tc>
                <w:tcPr>
                  <w:tcW w:w="2244" w:type="dxa"/>
                  <w:vAlign w:val="center"/>
                </w:tcPr>
                <w:p>
                  <w:pPr>
                    <w:adjustRightInd w:val="0"/>
                    <w:snapToGrid w:val="0"/>
                    <w:jc w:val="center"/>
                    <w:rPr>
                      <w:color w:val="auto"/>
                      <w:szCs w:val="21"/>
                    </w:rPr>
                  </w:pPr>
                  <w:r>
                    <w:rPr>
                      <w:color w:val="auto"/>
                      <w:szCs w:val="21"/>
                    </w:rPr>
                    <w:t>24小时平均第95百分位</w:t>
                  </w:r>
                  <w:r>
                    <w:rPr>
                      <w:rFonts w:hint="eastAsia"/>
                      <w:color w:val="auto"/>
                      <w:szCs w:val="21"/>
                    </w:rPr>
                    <w:t>数</w:t>
                  </w:r>
                  <w:r>
                    <w:rPr>
                      <w:color w:val="auto"/>
                      <w:szCs w:val="21"/>
                    </w:rPr>
                    <w:t>（mg/m</w:t>
                  </w:r>
                  <w:r>
                    <w:rPr>
                      <w:color w:val="auto"/>
                      <w:szCs w:val="21"/>
                      <w:vertAlign w:val="superscript"/>
                    </w:rPr>
                    <w:t>3</w:t>
                  </w:r>
                  <w:r>
                    <w:rPr>
                      <w:color w:val="auto"/>
                      <w:szCs w:val="21"/>
                    </w:rPr>
                    <w:t>）</w:t>
                  </w:r>
                </w:p>
              </w:tc>
              <w:tc>
                <w:tcPr>
                  <w:tcW w:w="893" w:type="dxa"/>
                  <w:vAlign w:val="center"/>
                </w:tcPr>
                <w:p>
                  <w:pPr>
                    <w:widowControl/>
                    <w:adjustRightInd w:val="0"/>
                    <w:snapToGrid w:val="0"/>
                    <w:jc w:val="center"/>
                    <w:textAlignment w:val="center"/>
                    <w:rPr>
                      <w:rFonts w:hint="default" w:eastAsia="宋体"/>
                      <w:color w:val="auto"/>
                      <w:kern w:val="0"/>
                      <w:szCs w:val="21"/>
                      <w:lang w:val="en-US" w:eastAsia="zh-CN"/>
                    </w:rPr>
                  </w:pPr>
                  <w:r>
                    <w:rPr>
                      <w:rFonts w:hint="eastAsia"/>
                      <w:color w:val="auto"/>
                      <w:kern w:val="0"/>
                      <w:szCs w:val="21"/>
                      <w:lang w:val="en-US" w:eastAsia="zh-CN"/>
                    </w:rPr>
                    <w:t>1.6</w:t>
                  </w:r>
                </w:p>
              </w:tc>
              <w:tc>
                <w:tcPr>
                  <w:tcW w:w="2606" w:type="dxa"/>
                  <w:vAlign w:val="center"/>
                </w:tcPr>
                <w:p>
                  <w:pPr>
                    <w:widowControl/>
                    <w:adjustRightInd w:val="0"/>
                    <w:snapToGrid w:val="0"/>
                    <w:jc w:val="center"/>
                    <w:textAlignment w:val="center"/>
                    <w:rPr>
                      <w:color w:val="auto"/>
                      <w:kern w:val="0"/>
                      <w:szCs w:val="21"/>
                    </w:rPr>
                  </w:pPr>
                  <w:r>
                    <w:rPr>
                      <w:color w:val="auto"/>
                      <w:kern w:val="0"/>
                      <w:szCs w:val="21"/>
                    </w:rPr>
                    <w:t>4</w:t>
                  </w:r>
                </w:p>
              </w:tc>
              <w:tc>
                <w:tcPr>
                  <w:tcW w:w="841" w:type="dxa"/>
                  <w:vAlign w:val="center"/>
                </w:tcPr>
                <w:p>
                  <w:pPr>
                    <w:widowControl/>
                    <w:adjustRightInd w:val="0"/>
                    <w:snapToGrid w:val="0"/>
                    <w:jc w:val="center"/>
                    <w:textAlignment w:val="center"/>
                    <w:rPr>
                      <w:color w:val="auto"/>
                      <w:kern w:val="0"/>
                      <w:szCs w:val="21"/>
                    </w:rPr>
                  </w:pPr>
                  <w:r>
                    <w:rPr>
                      <w:color w:val="auto"/>
                      <w:kern w:val="0"/>
                      <w:szCs w:val="21"/>
                    </w:rPr>
                    <w:t>/</w:t>
                  </w:r>
                </w:p>
              </w:tc>
              <w:tc>
                <w:tcPr>
                  <w:tcW w:w="731" w:type="dxa"/>
                  <w:vAlign w:val="center"/>
                </w:tcPr>
                <w:p>
                  <w:pPr>
                    <w:widowControl/>
                    <w:adjustRightInd w:val="0"/>
                    <w:snapToGrid w:val="0"/>
                    <w:jc w:val="center"/>
                    <w:textAlignment w:val="center"/>
                    <w:rPr>
                      <w:color w:val="auto"/>
                      <w:kern w:val="0"/>
                      <w:szCs w:val="21"/>
                    </w:rPr>
                  </w:pPr>
                  <w:r>
                    <w:rPr>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Align w:val="center"/>
                </w:tcPr>
                <w:p>
                  <w:pPr>
                    <w:widowControl/>
                    <w:adjustRightInd w:val="0"/>
                    <w:snapToGrid w:val="0"/>
                    <w:jc w:val="center"/>
                    <w:textAlignment w:val="center"/>
                    <w:rPr>
                      <w:color w:val="auto"/>
                      <w:kern w:val="0"/>
                      <w:szCs w:val="21"/>
                    </w:rPr>
                  </w:pPr>
                  <w:r>
                    <w:rPr>
                      <w:color w:val="auto"/>
                      <w:kern w:val="0"/>
                      <w:szCs w:val="21"/>
                    </w:rPr>
                    <w:t>O</w:t>
                  </w:r>
                  <w:r>
                    <w:rPr>
                      <w:color w:val="auto"/>
                      <w:kern w:val="0"/>
                      <w:szCs w:val="21"/>
                      <w:vertAlign w:val="subscript"/>
                    </w:rPr>
                    <w:t>3</w:t>
                  </w:r>
                </w:p>
              </w:tc>
              <w:tc>
                <w:tcPr>
                  <w:tcW w:w="2244" w:type="dxa"/>
                  <w:vAlign w:val="center"/>
                </w:tcPr>
                <w:p>
                  <w:pPr>
                    <w:adjustRightInd w:val="0"/>
                    <w:snapToGrid w:val="0"/>
                    <w:jc w:val="center"/>
                    <w:rPr>
                      <w:color w:val="auto"/>
                      <w:szCs w:val="21"/>
                    </w:rPr>
                  </w:pPr>
                  <w:r>
                    <w:rPr>
                      <w:color w:val="auto"/>
                      <w:szCs w:val="21"/>
                    </w:rPr>
                    <w:t>日最大8小时平均第90百分位</w:t>
                  </w:r>
                  <w:r>
                    <w:rPr>
                      <w:rFonts w:hint="eastAsia"/>
                      <w:color w:val="auto"/>
                      <w:szCs w:val="21"/>
                    </w:rPr>
                    <w:t>数</w:t>
                  </w:r>
                  <w:r>
                    <w:rPr>
                      <w:color w:val="auto"/>
                      <w:szCs w:val="21"/>
                    </w:rPr>
                    <w:t>（µg/m</w:t>
                  </w:r>
                  <w:r>
                    <w:rPr>
                      <w:color w:val="auto"/>
                      <w:szCs w:val="21"/>
                      <w:vertAlign w:val="superscript"/>
                    </w:rPr>
                    <w:t>3</w:t>
                  </w:r>
                  <w:r>
                    <w:rPr>
                      <w:color w:val="auto"/>
                      <w:szCs w:val="21"/>
                    </w:rPr>
                    <w:t>）</w:t>
                  </w:r>
                </w:p>
              </w:tc>
              <w:tc>
                <w:tcPr>
                  <w:tcW w:w="893" w:type="dxa"/>
                  <w:vAlign w:val="center"/>
                </w:tcPr>
                <w:p>
                  <w:pPr>
                    <w:widowControl/>
                    <w:adjustRightInd w:val="0"/>
                    <w:snapToGrid w:val="0"/>
                    <w:jc w:val="center"/>
                    <w:textAlignment w:val="center"/>
                    <w:rPr>
                      <w:rFonts w:hint="default" w:eastAsia="宋体"/>
                      <w:color w:val="auto"/>
                      <w:kern w:val="0"/>
                      <w:szCs w:val="21"/>
                      <w:lang w:val="en-US" w:eastAsia="zh-CN"/>
                    </w:rPr>
                  </w:pPr>
                  <w:r>
                    <w:rPr>
                      <w:rFonts w:hint="eastAsia"/>
                      <w:color w:val="auto"/>
                      <w:kern w:val="0"/>
                      <w:szCs w:val="21"/>
                    </w:rPr>
                    <w:t>1</w:t>
                  </w:r>
                  <w:r>
                    <w:rPr>
                      <w:rFonts w:hint="eastAsia"/>
                      <w:color w:val="auto"/>
                      <w:kern w:val="0"/>
                      <w:szCs w:val="21"/>
                      <w:lang w:val="en-US" w:eastAsia="zh-CN"/>
                    </w:rPr>
                    <w:t>44</w:t>
                  </w:r>
                </w:p>
              </w:tc>
              <w:tc>
                <w:tcPr>
                  <w:tcW w:w="2606" w:type="dxa"/>
                  <w:vAlign w:val="center"/>
                </w:tcPr>
                <w:p>
                  <w:pPr>
                    <w:widowControl/>
                    <w:adjustRightInd w:val="0"/>
                    <w:snapToGrid w:val="0"/>
                    <w:jc w:val="center"/>
                    <w:textAlignment w:val="center"/>
                    <w:rPr>
                      <w:color w:val="auto"/>
                      <w:kern w:val="0"/>
                      <w:szCs w:val="21"/>
                    </w:rPr>
                  </w:pPr>
                  <w:r>
                    <w:rPr>
                      <w:color w:val="auto"/>
                      <w:kern w:val="0"/>
                      <w:szCs w:val="21"/>
                    </w:rPr>
                    <w:t>160</w:t>
                  </w:r>
                </w:p>
              </w:tc>
              <w:tc>
                <w:tcPr>
                  <w:tcW w:w="841" w:type="dxa"/>
                  <w:vAlign w:val="center"/>
                </w:tcPr>
                <w:p>
                  <w:pPr>
                    <w:widowControl/>
                    <w:adjustRightInd w:val="0"/>
                    <w:snapToGrid w:val="0"/>
                    <w:jc w:val="center"/>
                    <w:textAlignment w:val="center"/>
                    <w:rPr>
                      <w:color w:val="auto"/>
                      <w:kern w:val="0"/>
                      <w:szCs w:val="21"/>
                    </w:rPr>
                  </w:pPr>
                  <w:r>
                    <w:rPr>
                      <w:color w:val="auto"/>
                      <w:kern w:val="0"/>
                      <w:szCs w:val="21"/>
                    </w:rPr>
                    <w:t>/</w:t>
                  </w:r>
                </w:p>
              </w:tc>
              <w:tc>
                <w:tcPr>
                  <w:tcW w:w="731" w:type="dxa"/>
                  <w:vAlign w:val="center"/>
                </w:tcPr>
                <w:p>
                  <w:pPr>
                    <w:widowControl/>
                    <w:adjustRightInd w:val="0"/>
                    <w:snapToGrid w:val="0"/>
                    <w:jc w:val="center"/>
                    <w:textAlignment w:val="center"/>
                    <w:rPr>
                      <w:color w:val="auto"/>
                      <w:kern w:val="0"/>
                      <w:szCs w:val="21"/>
                    </w:rPr>
                  </w:pPr>
                  <w:r>
                    <w:rPr>
                      <w:color w:val="auto"/>
                      <w:kern w:val="0"/>
                      <w:szCs w:val="21"/>
                    </w:rPr>
                    <w:t>达标</w:t>
                  </w:r>
                </w:p>
              </w:tc>
            </w:tr>
          </w:tbl>
          <w:p>
            <w:pPr>
              <w:spacing w:line="360" w:lineRule="auto"/>
              <w:ind w:firstLine="480" w:firstLineChars="200"/>
              <w:rPr>
                <w:color w:val="auto"/>
                <w:sz w:val="24"/>
              </w:rPr>
            </w:pPr>
            <w:r>
              <w:rPr>
                <w:color w:val="auto"/>
                <w:sz w:val="24"/>
              </w:rPr>
              <w:t>由以上统计结果可知，</w:t>
            </w:r>
            <w:r>
              <w:rPr>
                <w:rFonts w:hint="eastAsia"/>
                <w:color w:val="auto"/>
                <w:sz w:val="24"/>
              </w:rPr>
              <w:t>定边县</w:t>
            </w:r>
            <w:r>
              <w:rPr>
                <w:color w:val="auto"/>
                <w:sz w:val="24"/>
              </w:rPr>
              <w:t>PM</w:t>
            </w:r>
            <w:r>
              <w:rPr>
                <w:color w:val="auto"/>
                <w:sz w:val="24"/>
                <w:vertAlign w:val="subscript"/>
              </w:rPr>
              <w:t>2.5</w:t>
            </w:r>
            <w:r>
              <w:rPr>
                <w:color w:val="auto"/>
                <w:sz w:val="24"/>
              </w:rPr>
              <w:t>、PM</w:t>
            </w:r>
            <w:r>
              <w:rPr>
                <w:color w:val="auto"/>
                <w:sz w:val="24"/>
                <w:vertAlign w:val="subscript"/>
              </w:rPr>
              <w:t>10</w:t>
            </w:r>
            <w:r>
              <w:rPr>
                <w:color w:val="auto"/>
                <w:sz w:val="24"/>
              </w:rPr>
              <w:t>、NO</w:t>
            </w:r>
            <w:r>
              <w:rPr>
                <w:color w:val="auto"/>
                <w:sz w:val="24"/>
                <w:vertAlign w:val="subscript"/>
              </w:rPr>
              <w:t>2</w:t>
            </w:r>
            <w:r>
              <w:rPr>
                <w:color w:val="auto"/>
                <w:sz w:val="24"/>
              </w:rPr>
              <w:t>、SO</w:t>
            </w:r>
            <w:r>
              <w:rPr>
                <w:color w:val="auto"/>
                <w:sz w:val="24"/>
                <w:vertAlign w:val="subscript"/>
              </w:rPr>
              <w:t>2</w:t>
            </w:r>
            <w:r>
              <w:rPr>
                <w:color w:val="auto"/>
                <w:sz w:val="24"/>
              </w:rPr>
              <w:t>、CO和O</w:t>
            </w:r>
            <w:r>
              <w:rPr>
                <w:color w:val="auto"/>
                <w:sz w:val="24"/>
                <w:vertAlign w:val="subscript"/>
              </w:rPr>
              <w:t>3</w:t>
            </w:r>
            <w:r>
              <w:rPr>
                <w:color w:val="auto"/>
                <w:sz w:val="24"/>
              </w:rPr>
              <w:t>质量浓度值均满足《环境空气质量标准》（GB3095-2012）二级标准要求。项目所在区域为环境空气质量达标区。</w:t>
            </w:r>
          </w:p>
          <w:p>
            <w:pPr>
              <w:spacing w:line="360" w:lineRule="auto"/>
              <w:ind w:firstLine="480" w:firstLineChars="200"/>
              <w:rPr>
                <w:color w:val="auto"/>
                <w:sz w:val="24"/>
              </w:rPr>
            </w:pPr>
            <w:r>
              <w:rPr>
                <w:color w:val="auto"/>
                <w:sz w:val="24"/>
              </w:rPr>
              <w:t>⑵ 特征污染物</w:t>
            </w:r>
          </w:p>
          <w:p>
            <w:pPr>
              <w:spacing w:line="360" w:lineRule="auto"/>
              <w:ind w:firstLine="480" w:firstLineChars="200"/>
              <w:rPr>
                <w:color w:val="auto"/>
                <w:sz w:val="24"/>
              </w:rPr>
            </w:pPr>
            <w:r>
              <w:rPr>
                <w:color w:val="auto"/>
                <w:sz w:val="24"/>
              </w:rPr>
              <w:t>① 监测点位：</w:t>
            </w:r>
            <w:r>
              <w:rPr>
                <w:rFonts w:hint="eastAsia"/>
                <w:color w:val="auto"/>
                <w:sz w:val="24"/>
              </w:rPr>
              <w:t>2511站场、3270站场、4926-4站场，3个站场下风向各布设1个共3个监测点位</w:t>
            </w:r>
            <w:r>
              <w:rPr>
                <w:color w:val="auto"/>
                <w:sz w:val="24"/>
              </w:rPr>
              <w:t>（</w:t>
            </w:r>
            <w:r>
              <w:rPr>
                <w:rFonts w:hint="eastAsia"/>
                <w:color w:val="auto"/>
                <w:sz w:val="24"/>
                <w:lang w:val="en-US" w:eastAsia="zh-CN"/>
              </w:rPr>
              <w:t>监测报告见附件5，</w:t>
            </w:r>
            <w:r>
              <w:rPr>
                <w:color w:val="auto"/>
                <w:sz w:val="24"/>
              </w:rPr>
              <w:t>监测点位见附图</w:t>
            </w:r>
            <w:r>
              <w:rPr>
                <w:rFonts w:hint="eastAsia"/>
                <w:color w:val="auto"/>
                <w:sz w:val="24"/>
                <w:lang w:val="en-US" w:eastAsia="zh-CN"/>
              </w:rPr>
              <w:t>6至附图8</w:t>
            </w:r>
            <w:r>
              <w:rPr>
                <w:color w:val="auto"/>
                <w:sz w:val="24"/>
              </w:rPr>
              <w:t>）。</w:t>
            </w:r>
          </w:p>
          <w:p>
            <w:pPr>
              <w:spacing w:line="360" w:lineRule="auto"/>
              <w:ind w:firstLine="480" w:firstLineChars="200"/>
              <w:rPr>
                <w:color w:val="auto"/>
                <w:sz w:val="24"/>
              </w:rPr>
            </w:pPr>
            <w:r>
              <w:rPr>
                <w:color w:val="auto"/>
                <w:sz w:val="24"/>
              </w:rPr>
              <w:t>② 监测因子：</w:t>
            </w:r>
            <w:r>
              <w:rPr>
                <w:rFonts w:hint="eastAsia"/>
                <w:color w:val="auto"/>
                <w:sz w:val="24"/>
              </w:rPr>
              <w:t>非甲烷总烃</w:t>
            </w:r>
            <w:r>
              <w:rPr>
                <w:color w:val="auto"/>
                <w:sz w:val="24"/>
              </w:rPr>
              <w:t>。</w:t>
            </w:r>
          </w:p>
          <w:p>
            <w:pPr>
              <w:spacing w:line="360" w:lineRule="auto"/>
              <w:ind w:firstLine="480" w:firstLineChars="200"/>
              <w:rPr>
                <w:color w:val="auto"/>
                <w:sz w:val="24"/>
              </w:rPr>
            </w:pPr>
            <w:r>
              <w:rPr>
                <w:color w:val="auto"/>
                <w:sz w:val="24"/>
              </w:rPr>
              <w:t>③ 监测时间：榆林市碧清环保科技有限公司于202</w:t>
            </w:r>
            <w:r>
              <w:rPr>
                <w:rFonts w:hint="eastAsia"/>
                <w:color w:val="auto"/>
                <w:sz w:val="24"/>
              </w:rPr>
              <w:t>3</w:t>
            </w:r>
            <w:r>
              <w:rPr>
                <w:color w:val="auto"/>
                <w:sz w:val="24"/>
              </w:rPr>
              <w:t>年</w:t>
            </w:r>
            <w:r>
              <w:rPr>
                <w:rFonts w:hint="eastAsia"/>
                <w:color w:val="auto"/>
                <w:sz w:val="24"/>
              </w:rPr>
              <w:t>9</w:t>
            </w:r>
            <w:r>
              <w:rPr>
                <w:color w:val="auto"/>
                <w:sz w:val="24"/>
              </w:rPr>
              <w:t>月</w:t>
            </w:r>
            <w:r>
              <w:rPr>
                <w:rFonts w:hint="eastAsia"/>
                <w:color w:val="auto"/>
                <w:sz w:val="24"/>
              </w:rPr>
              <w:t>11</w:t>
            </w:r>
            <w:r>
              <w:rPr>
                <w:color w:val="auto"/>
                <w:sz w:val="24"/>
              </w:rPr>
              <w:t>日～</w:t>
            </w:r>
            <w:r>
              <w:rPr>
                <w:rFonts w:hint="eastAsia"/>
                <w:color w:val="auto"/>
                <w:sz w:val="24"/>
              </w:rPr>
              <w:t>9</w:t>
            </w:r>
            <w:r>
              <w:rPr>
                <w:color w:val="auto"/>
                <w:sz w:val="24"/>
              </w:rPr>
              <w:t>月</w:t>
            </w:r>
            <w:r>
              <w:rPr>
                <w:rFonts w:hint="eastAsia"/>
                <w:color w:val="auto"/>
                <w:sz w:val="24"/>
              </w:rPr>
              <w:t>13</w:t>
            </w:r>
            <w:r>
              <w:rPr>
                <w:color w:val="auto"/>
                <w:sz w:val="24"/>
              </w:rPr>
              <w:t>日对项目</w:t>
            </w:r>
            <w:r>
              <w:rPr>
                <w:rFonts w:hint="eastAsia"/>
                <w:color w:val="auto"/>
                <w:sz w:val="24"/>
              </w:rPr>
              <w:t>厂址下风向</w:t>
            </w:r>
            <w:r>
              <w:rPr>
                <w:color w:val="auto"/>
                <w:sz w:val="24"/>
              </w:rPr>
              <w:t>环境空气质量进行了监测。</w:t>
            </w:r>
          </w:p>
          <w:p>
            <w:pPr>
              <w:spacing w:line="360" w:lineRule="auto"/>
              <w:ind w:firstLine="480" w:firstLineChars="200"/>
              <w:rPr>
                <w:color w:val="auto"/>
                <w:sz w:val="24"/>
              </w:rPr>
            </w:pPr>
            <w:r>
              <w:rPr>
                <w:color w:val="auto"/>
                <w:sz w:val="24"/>
              </w:rPr>
              <w:t>④ 监测结果及评价</w:t>
            </w:r>
          </w:p>
          <w:p>
            <w:pPr>
              <w:spacing w:line="360" w:lineRule="auto"/>
              <w:ind w:firstLine="480" w:firstLineChars="200"/>
              <w:rPr>
                <w:color w:val="auto"/>
                <w:sz w:val="24"/>
              </w:rPr>
            </w:pPr>
            <w:r>
              <w:rPr>
                <w:color w:val="auto"/>
                <w:sz w:val="24"/>
              </w:rPr>
              <w:t>监测结果见表</w:t>
            </w:r>
            <w:r>
              <w:rPr>
                <w:rFonts w:hint="eastAsia"/>
                <w:color w:val="auto"/>
                <w:sz w:val="24"/>
              </w:rPr>
              <w:t>3-2</w:t>
            </w:r>
            <w:r>
              <w:rPr>
                <w:color w:val="auto"/>
                <w:sz w:val="24"/>
              </w:rPr>
              <w:t>。</w:t>
            </w:r>
          </w:p>
          <w:p>
            <w:pPr>
              <w:spacing w:line="360" w:lineRule="auto"/>
              <w:ind w:firstLine="14" w:firstLineChars="7"/>
              <w:jc w:val="center"/>
              <w:rPr>
                <w:rFonts w:eastAsia="黑体"/>
                <w:color w:val="auto"/>
                <w:szCs w:val="21"/>
              </w:rPr>
            </w:pPr>
            <w:r>
              <w:rPr>
                <w:rFonts w:hint="eastAsia" w:eastAsia="黑体"/>
                <w:color w:val="auto"/>
                <w:szCs w:val="21"/>
              </w:rPr>
              <w:t>表3-2  非甲烷总烃现状监测</w:t>
            </w:r>
            <w:r>
              <w:rPr>
                <w:rFonts w:eastAsia="黑体"/>
                <w:color w:val="auto"/>
                <w:szCs w:val="21"/>
              </w:rPr>
              <w:t>结果表</w:t>
            </w:r>
          </w:p>
          <w:tbl>
            <w:tblPr>
              <w:tblStyle w:val="3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774"/>
              <w:gridCol w:w="1741"/>
              <w:gridCol w:w="1741"/>
              <w:gridCol w:w="2384"/>
              <w:gridCol w:w="552"/>
              <w:gridCol w:w="90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0" w:hRule="atLeast"/>
                <w:jc w:val="center"/>
              </w:trPr>
              <w:tc>
                <w:tcPr>
                  <w:tcW w:w="774" w:type="dxa"/>
                  <w:tcBorders>
                    <w:top w:val="single" w:color="auto" w:sz="4" w:space="0"/>
                    <w:left w:val="single" w:color="auto" w:sz="6" w:space="0"/>
                    <w:right w:val="single" w:color="000000" w:sz="6" w:space="0"/>
                  </w:tcBorders>
                  <w:vAlign w:val="center"/>
                </w:tcPr>
                <w:p>
                  <w:pPr>
                    <w:snapToGrid w:val="0"/>
                    <w:jc w:val="center"/>
                    <w:rPr>
                      <w:color w:val="auto"/>
                      <w:szCs w:val="21"/>
                    </w:rPr>
                  </w:pPr>
                  <w:r>
                    <w:rPr>
                      <w:color w:val="auto"/>
                      <w:szCs w:val="21"/>
                    </w:rPr>
                    <w:t>监测</w:t>
                  </w:r>
                </w:p>
                <w:p>
                  <w:pPr>
                    <w:snapToGrid w:val="0"/>
                    <w:jc w:val="center"/>
                    <w:rPr>
                      <w:color w:val="auto"/>
                      <w:szCs w:val="21"/>
                    </w:rPr>
                  </w:pPr>
                  <w:r>
                    <w:rPr>
                      <w:rFonts w:hint="eastAsia"/>
                      <w:color w:val="auto"/>
                      <w:szCs w:val="21"/>
                    </w:rPr>
                    <w:t>因子</w:t>
                  </w:r>
                </w:p>
              </w:tc>
              <w:tc>
                <w:tcPr>
                  <w:tcW w:w="1741" w:type="dxa"/>
                  <w:tcBorders>
                    <w:top w:val="single" w:color="auto" w:sz="4" w:space="0"/>
                    <w:left w:val="single" w:color="auto" w:sz="6" w:space="0"/>
                    <w:right w:val="single" w:color="000000" w:sz="6" w:space="0"/>
                  </w:tcBorders>
                  <w:vAlign w:val="center"/>
                </w:tcPr>
                <w:p>
                  <w:pPr>
                    <w:snapToGrid w:val="0"/>
                    <w:jc w:val="center"/>
                    <w:rPr>
                      <w:color w:val="auto"/>
                      <w:szCs w:val="21"/>
                    </w:rPr>
                  </w:pPr>
                  <w:r>
                    <w:rPr>
                      <w:rFonts w:hint="eastAsia"/>
                      <w:color w:val="auto"/>
                      <w:szCs w:val="21"/>
                    </w:rPr>
                    <w:t>评价指标</w:t>
                  </w:r>
                </w:p>
              </w:tc>
              <w:tc>
                <w:tcPr>
                  <w:tcW w:w="1741" w:type="dxa"/>
                  <w:tcBorders>
                    <w:top w:val="single" w:color="auto" w:sz="4" w:space="0"/>
                    <w:left w:val="single" w:color="auto" w:sz="6" w:space="0"/>
                    <w:right w:val="single" w:color="000000" w:sz="6" w:space="0"/>
                  </w:tcBorders>
                  <w:vAlign w:val="center"/>
                </w:tcPr>
                <w:p>
                  <w:pPr>
                    <w:snapToGrid w:val="0"/>
                    <w:jc w:val="center"/>
                    <w:rPr>
                      <w:color w:val="auto"/>
                      <w:szCs w:val="21"/>
                    </w:rPr>
                  </w:pPr>
                  <w:r>
                    <w:rPr>
                      <w:color w:val="auto"/>
                      <w:szCs w:val="21"/>
                    </w:rPr>
                    <w:t>监测结果</w:t>
                  </w:r>
                  <w:r>
                    <w:rPr>
                      <w:rFonts w:hint="eastAsia"/>
                      <w:color w:val="auto"/>
                      <w:szCs w:val="21"/>
                    </w:rPr>
                    <w:t>（m</w:t>
                  </w:r>
                  <w:r>
                    <w:rPr>
                      <w:color w:val="auto"/>
                      <w:szCs w:val="21"/>
                    </w:rPr>
                    <w:t>g/m</w:t>
                  </w:r>
                  <w:r>
                    <w:rPr>
                      <w:color w:val="auto"/>
                      <w:szCs w:val="21"/>
                      <w:vertAlign w:val="superscript"/>
                    </w:rPr>
                    <w:t>3</w:t>
                  </w:r>
                  <w:r>
                    <w:rPr>
                      <w:rFonts w:hint="eastAsia"/>
                      <w:color w:val="auto"/>
                      <w:szCs w:val="21"/>
                    </w:rPr>
                    <w:t>）</w:t>
                  </w:r>
                  <w:r>
                    <w:rPr>
                      <w:color w:val="auto"/>
                      <w:szCs w:val="21"/>
                    </w:rPr>
                    <w:t xml:space="preserve"> </w:t>
                  </w:r>
                </w:p>
              </w:tc>
              <w:tc>
                <w:tcPr>
                  <w:tcW w:w="2384" w:type="dxa"/>
                  <w:tcBorders>
                    <w:top w:val="single" w:color="auto" w:sz="4" w:space="0"/>
                    <w:left w:val="single" w:color="auto" w:sz="6" w:space="0"/>
                    <w:right w:val="single" w:color="000000" w:sz="6" w:space="0"/>
                  </w:tcBorders>
                  <w:vAlign w:val="center"/>
                </w:tcPr>
                <w:p>
                  <w:pPr>
                    <w:snapToGrid w:val="0"/>
                    <w:jc w:val="center"/>
                    <w:rPr>
                      <w:color w:val="auto"/>
                      <w:szCs w:val="21"/>
                    </w:rPr>
                  </w:pPr>
                  <w:r>
                    <w:rPr>
                      <w:color w:val="auto"/>
                      <w:szCs w:val="21"/>
                    </w:rPr>
                    <w:t>《大气污染物综合排放标准详解》</w:t>
                  </w:r>
                  <w:r>
                    <w:rPr>
                      <w:rFonts w:hint="eastAsia"/>
                      <w:color w:val="auto"/>
                      <w:szCs w:val="21"/>
                    </w:rPr>
                    <w:t>中</w:t>
                  </w:r>
                  <w:r>
                    <w:rPr>
                      <w:color w:val="auto"/>
                      <w:szCs w:val="21"/>
                    </w:rPr>
                    <w:t>质量标准值</w:t>
                  </w:r>
                </w:p>
              </w:tc>
              <w:tc>
                <w:tcPr>
                  <w:tcW w:w="552" w:type="dxa"/>
                  <w:tcBorders>
                    <w:top w:val="single" w:color="auto" w:sz="4" w:space="0"/>
                    <w:left w:val="single" w:color="auto" w:sz="6" w:space="0"/>
                    <w:right w:val="single" w:color="000000" w:sz="6" w:space="0"/>
                  </w:tcBorders>
                  <w:vAlign w:val="center"/>
                </w:tcPr>
                <w:p>
                  <w:pPr>
                    <w:snapToGrid w:val="0"/>
                    <w:jc w:val="center"/>
                    <w:rPr>
                      <w:color w:val="auto"/>
                      <w:szCs w:val="21"/>
                    </w:rPr>
                  </w:pPr>
                  <w:r>
                    <w:rPr>
                      <w:color w:val="auto"/>
                      <w:szCs w:val="21"/>
                    </w:rPr>
                    <w:t>超标倍数</w:t>
                  </w:r>
                </w:p>
              </w:tc>
              <w:tc>
                <w:tcPr>
                  <w:tcW w:w="902" w:type="dxa"/>
                  <w:tcBorders>
                    <w:top w:val="single" w:color="auto" w:sz="4" w:space="0"/>
                    <w:left w:val="single" w:color="auto" w:sz="6" w:space="0"/>
                    <w:bottom w:val="single" w:color="000000" w:sz="6" w:space="0"/>
                    <w:right w:val="single" w:color="000000" w:sz="6" w:space="0"/>
                  </w:tcBorders>
                  <w:vAlign w:val="center"/>
                </w:tcPr>
                <w:p>
                  <w:pPr>
                    <w:snapToGrid w:val="0"/>
                    <w:jc w:val="center"/>
                    <w:rPr>
                      <w:color w:val="auto"/>
                      <w:szCs w:val="21"/>
                    </w:rPr>
                  </w:pPr>
                  <w:r>
                    <w:rPr>
                      <w:rFonts w:hint="eastAsia"/>
                      <w:color w:val="auto"/>
                      <w:szCs w:val="21"/>
                    </w:rPr>
                    <w:t>达标</w:t>
                  </w:r>
                  <w:r>
                    <w:rPr>
                      <w:color w:val="auto"/>
                      <w:szCs w:val="21"/>
                    </w:rPr>
                    <w:t>率</w:t>
                  </w:r>
                </w:p>
                <w:p>
                  <w:pPr>
                    <w:snapToGrid w:val="0"/>
                    <w:jc w:val="center"/>
                    <w:rPr>
                      <w:color w:val="auto"/>
                      <w:szCs w:val="21"/>
                    </w:rPr>
                  </w:pPr>
                  <w:r>
                    <w:rPr>
                      <w:color w:val="auto"/>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774" w:type="dxa"/>
                  <w:tcBorders>
                    <w:top w:val="single" w:color="auto" w:sz="6" w:space="0"/>
                    <w:left w:val="single" w:color="auto" w:sz="6" w:space="0"/>
                    <w:bottom w:val="single" w:color="000000" w:sz="6" w:space="0"/>
                    <w:right w:val="single" w:color="000000" w:sz="6" w:space="0"/>
                  </w:tcBorders>
                  <w:vAlign w:val="center"/>
                </w:tcPr>
                <w:p>
                  <w:pPr>
                    <w:snapToGrid w:val="0"/>
                    <w:jc w:val="center"/>
                    <w:rPr>
                      <w:color w:val="auto"/>
                      <w:szCs w:val="21"/>
                    </w:rPr>
                  </w:pPr>
                  <w:r>
                    <w:rPr>
                      <w:rFonts w:hint="eastAsia"/>
                      <w:color w:val="auto"/>
                      <w:szCs w:val="21"/>
                    </w:rPr>
                    <w:t>非甲烷总烃</w:t>
                  </w:r>
                </w:p>
              </w:tc>
              <w:tc>
                <w:tcPr>
                  <w:tcW w:w="1741" w:type="dxa"/>
                  <w:tcBorders>
                    <w:top w:val="single" w:color="auto" w:sz="6" w:space="0"/>
                    <w:left w:val="single" w:color="auto" w:sz="6" w:space="0"/>
                    <w:bottom w:val="single" w:color="000000" w:sz="6" w:space="0"/>
                    <w:right w:val="single" w:color="000000" w:sz="6" w:space="0"/>
                  </w:tcBorders>
                  <w:vAlign w:val="center"/>
                </w:tcPr>
                <w:p>
                  <w:pPr>
                    <w:snapToGrid w:val="0"/>
                    <w:jc w:val="center"/>
                    <w:rPr>
                      <w:color w:val="auto"/>
                      <w:szCs w:val="21"/>
                    </w:rPr>
                  </w:pPr>
                  <w:r>
                    <w:rPr>
                      <w:rFonts w:hint="eastAsia"/>
                      <w:color w:val="auto"/>
                      <w:szCs w:val="21"/>
                    </w:rPr>
                    <w:t>24小时平均</w:t>
                  </w:r>
                </w:p>
              </w:tc>
              <w:tc>
                <w:tcPr>
                  <w:tcW w:w="1741" w:type="dxa"/>
                  <w:tcBorders>
                    <w:top w:val="single" w:color="auto" w:sz="6" w:space="0"/>
                    <w:left w:val="single" w:color="auto" w:sz="6" w:space="0"/>
                    <w:bottom w:val="single" w:color="000000" w:sz="6" w:space="0"/>
                    <w:right w:val="single" w:color="000000" w:sz="6" w:space="0"/>
                  </w:tcBorders>
                  <w:vAlign w:val="center"/>
                </w:tcPr>
                <w:p>
                  <w:pPr>
                    <w:snapToGrid w:val="0"/>
                    <w:jc w:val="center"/>
                    <w:rPr>
                      <w:color w:val="auto"/>
                      <w:szCs w:val="21"/>
                    </w:rPr>
                  </w:pPr>
                  <w:r>
                    <w:rPr>
                      <w:rFonts w:hint="eastAsia"/>
                      <w:color w:val="auto"/>
                      <w:szCs w:val="21"/>
                    </w:rPr>
                    <w:t>0.81-0.93</w:t>
                  </w:r>
                </w:p>
              </w:tc>
              <w:tc>
                <w:tcPr>
                  <w:tcW w:w="2384" w:type="dxa"/>
                  <w:tcBorders>
                    <w:top w:val="single" w:color="auto" w:sz="6" w:space="0"/>
                    <w:left w:val="single" w:color="auto" w:sz="6" w:space="0"/>
                    <w:bottom w:val="single" w:color="000000" w:sz="6" w:space="0"/>
                    <w:right w:val="single" w:color="000000" w:sz="6" w:space="0"/>
                  </w:tcBorders>
                  <w:vAlign w:val="center"/>
                </w:tcPr>
                <w:p>
                  <w:pPr>
                    <w:snapToGrid w:val="0"/>
                    <w:jc w:val="center"/>
                    <w:rPr>
                      <w:color w:val="auto"/>
                      <w:szCs w:val="21"/>
                    </w:rPr>
                  </w:pPr>
                  <w:r>
                    <w:rPr>
                      <w:rFonts w:hint="eastAsia"/>
                      <w:color w:val="auto"/>
                      <w:szCs w:val="21"/>
                    </w:rPr>
                    <w:t>2m</w:t>
                  </w:r>
                  <w:r>
                    <w:rPr>
                      <w:color w:val="auto"/>
                      <w:szCs w:val="21"/>
                    </w:rPr>
                    <w:t>g/m</w:t>
                  </w:r>
                  <w:r>
                    <w:rPr>
                      <w:color w:val="auto"/>
                      <w:szCs w:val="21"/>
                      <w:vertAlign w:val="superscript"/>
                    </w:rPr>
                    <w:t>3</w:t>
                  </w:r>
                </w:p>
              </w:tc>
              <w:tc>
                <w:tcPr>
                  <w:tcW w:w="552" w:type="dxa"/>
                  <w:tcBorders>
                    <w:top w:val="single" w:color="auto" w:sz="6" w:space="0"/>
                    <w:left w:val="single" w:color="auto" w:sz="6" w:space="0"/>
                    <w:bottom w:val="single" w:color="000000" w:sz="6" w:space="0"/>
                    <w:right w:val="single" w:color="000000" w:sz="6" w:space="0"/>
                  </w:tcBorders>
                  <w:vAlign w:val="center"/>
                </w:tcPr>
                <w:p>
                  <w:pPr>
                    <w:snapToGrid w:val="0"/>
                    <w:jc w:val="center"/>
                    <w:rPr>
                      <w:color w:val="auto"/>
                      <w:szCs w:val="21"/>
                    </w:rPr>
                  </w:pPr>
                  <w:r>
                    <w:rPr>
                      <w:rFonts w:hint="eastAsia"/>
                      <w:color w:val="auto"/>
                      <w:szCs w:val="21"/>
                    </w:rPr>
                    <w:t>/</w:t>
                  </w:r>
                </w:p>
              </w:tc>
              <w:tc>
                <w:tcPr>
                  <w:tcW w:w="902" w:type="dxa"/>
                  <w:tcBorders>
                    <w:top w:val="single" w:color="auto" w:sz="6" w:space="0"/>
                    <w:left w:val="single" w:color="auto" w:sz="6" w:space="0"/>
                    <w:bottom w:val="single" w:color="000000" w:sz="6" w:space="0"/>
                    <w:right w:val="single" w:color="000000" w:sz="6" w:space="0"/>
                  </w:tcBorders>
                  <w:vAlign w:val="center"/>
                </w:tcPr>
                <w:p>
                  <w:pPr>
                    <w:snapToGrid w:val="0"/>
                    <w:jc w:val="center"/>
                    <w:rPr>
                      <w:color w:val="auto"/>
                      <w:szCs w:val="21"/>
                    </w:rPr>
                  </w:pPr>
                  <w:r>
                    <w:rPr>
                      <w:rFonts w:hint="eastAsia"/>
                      <w:color w:val="auto"/>
                      <w:szCs w:val="21"/>
                    </w:rPr>
                    <w:t>100</w:t>
                  </w:r>
                </w:p>
              </w:tc>
            </w:tr>
          </w:tbl>
          <w:p>
            <w:pPr>
              <w:spacing w:line="360" w:lineRule="auto"/>
              <w:ind w:firstLine="480" w:firstLineChars="200"/>
              <w:rPr>
                <w:color w:val="auto"/>
                <w:sz w:val="24"/>
              </w:rPr>
            </w:pPr>
            <w:r>
              <w:rPr>
                <w:color w:val="auto"/>
                <w:sz w:val="24"/>
              </w:rPr>
              <w:t>由监测结果可知，项目所在</w:t>
            </w:r>
            <w:r>
              <w:rPr>
                <w:rFonts w:hint="eastAsia"/>
                <w:color w:val="auto"/>
                <w:sz w:val="24"/>
              </w:rPr>
              <w:t>区域非甲烷总烃</w:t>
            </w:r>
            <w:r>
              <w:rPr>
                <w:color w:val="auto"/>
                <w:sz w:val="24"/>
              </w:rPr>
              <w:t>监测值满足《大气污染物综合排放标准详解》（国家环境保护局科技标准司编写）</w:t>
            </w:r>
            <w:r>
              <w:rPr>
                <w:rFonts w:hint="eastAsia"/>
                <w:color w:val="auto"/>
                <w:sz w:val="24"/>
              </w:rPr>
              <w:t>中</w:t>
            </w:r>
            <w:r>
              <w:rPr>
                <w:color w:val="auto"/>
                <w:sz w:val="24"/>
              </w:rPr>
              <w:t>质量标准值值2.0mg/</w:t>
            </w:r>
            <w:r>
              <w:rPr>
                <w:rFonts w:hint="eastAsia"/>
                <w:color w:val="auto"/>
                <w:sz w:val="24"/>
              </w:rPr>
              <w:t>m</w:t>
            </w:r>
            <w:r>
              <w:rPr>
                <w:rFonts w:hint="eastAsia"/>
                <w:color w:val="auto"/>
                <w:sz w:val="24"/>
                <w:vertAlign w:val="superscript"/>
              </w:rPr>
              <w:t>3</w:t>
            </w:r>
            <w:r>
              <w:rPr>
                <w:color w:val="auto"/>
                <w:sz w:val="24"/>
              </w:rPr>
              <w:t>限值要求。</w:t>
            </w:r>
          </w:p>
          <w:p>
            <w:pPr>
              <w:spacing w:line="360" w:lineRule="auto"/>
              <w:ind w:firstLine="482"/>
              <w:jc w:val="left"/>
              <w:rPr>
                <w:b/>
                <w:color w:val="auto"/>
                <w:sz w:val="24"/>
              </w:rPr>
            </w:pPr>
            <w:r>
              <w:rPr>
                <w:rFonts w:hint="eastAsia"/>
                <w:b/>
                <w:color w:val="auto"/>
                <w:sz w:val="24"/>
              </w:rPr>
              <w:t>2</w:t>
            </w:r>
            <w:r>
              <w:rPr>
                <w:b/>
                <w:color w:val="auto"/>
                <w:sz w:val="24"/>
              </w:rPr>
              <w:t>、地下水环境</w:t>
            </w:r>
          </w:p>
          <w:p>
            <w:pPr>
              <w:spacing w:line="360" w:lineRule="auto"/>
              <w:ind w:firstLine="480" w:firstLineChars="200"/>
              <w:rPr>
                <w:color w:val="auto"/>
                <w:sz w:val="24"/>
              </w:rPr>
            </w:pPr>
            <w:r>
              <w:rPr>
                <w:rFonts w:hint="eastAsia"/>
                <w:color w:val="auto"/>
                <w:sz w:val="24"/>
              </w:rPr>
              <w:t>据调查，项目所在区域第四系潜水含水层富水性极弱，水质差，仅沟道低处零散分布潜水含水层，区域内无潜水供水。评价范围内无集中式及分散式地下水饮用水源分布，该区域居民主要以窖水作为饮用水源。评价范围区域地下水类型主要为白垩系裂隙孔隙水，地下水开采主要用于农田灌溉及其他生产用水。因此本次评价地下水水质监测点主要利用站场现有水源井布设。</w:t>
            </w:r>
          </w:p>
          <w:p>
            <w:pPr>
              <w:spacing w:line="360" w:lineRule="auto"/>
              <w:ind w:firstLine="480" w:firstLineChars="200"/>
              <w:rPr>
                <w:color w:val="auto"/>
              </w:rPr>
            </w:pPr>
            <w:r>
              <w:rPr>
                <w:color w:val="auto"/>
                <w:sz w:val="24"/>
              </w:rPr>
              <w:t>⑴ 监测点位</w:t>
            </w:r>
          </w:p>
          <w:p>
            <w:pPr>
              <w:spacing w:line="360" w:lineRule="auto"/>
              <w:ind w:firstLine="480" w:firstLineChars="200"/>
              <w:rPr>
                <w:color w:val="auto"/>
                <w:sz w:val="24"/>
              </w:rPr>
            </w:pPr>
            <w:r>
              <w:rPr>
                <w:rFonts w:hint="eastAsia"/>
                <w:color w:val="auto"/>
                <w:sz w:val="24"/>
              </w:rPr>
              <w:t>2511站场、3270站场、4926-4站场，</w:t>
            </w:r>
            <w:r>
              <w:rPr>
                <w:rFonts w:hint="eastAsia" w:hAnsi="宋体"/>
                <w:bCs/>
                <w:color w:val="auto"/>
                <w:sz w:val="24"/>
              </w:rPr>
              <w:t>3个站场附近各布设1个共3</w:t>
            </w:r>
            <w:r>
              <w:rPr>
                <w:color w:val="auto"/>
                <w:sz w:val="24"/>
              </w:rPr>
              <w:t>个监测点位，具体</w:t>
            </w:r>
            <w:r>
              <w:rPr>
                <w:rFonts w:hint="eastAsia"/>
                <w:color w:val="auto"/>
                <w:sz w:val="24"/>
              </w:rPr>
              <w:t>地下水监测点位和监测井</w:t>
            </w:r>
            <w:r>
              <w:rPr>
                <w:color w:val="auto"/>
                <w:sz w:val="24"/>
              </w:rPr>
              <w:t>信息见表</w:t>
            </w:r>
            <w:r>
              <w:rPr>
                <w:rFonts w:hint="eastAsia"/>
                <w:color w:val="auto"/>
                <w:sz w:val="24"/>
              </w:rPr>
              <w:t>3-3</w:t>
            </w:r>
            <w:r>
              <w:rPr>
                <w:color w:val="auto"/>
                <w:sz w:val="24"/>
              </w:rPr>
              <w:t>。</w:t>
            </w:r>
          </w:p>
          <w:p>
            <w:pPr>
              <w:adjustRightInd w:val="0"/>
              <w:snapToGrid w:val="0"/>
              <w:spacing w:line="360" w:lineRule="auto"/>
              <w:jc w:val="center"/>
              <w:rPr>
                <w:rFonts w:ascii="黑体" w:hAnsi="黑体" w:eastAsia="黑体" w:cs="黑体"/>
                <w:color w:val="auto"/>
                <w:spacing w:val="6"/>
                <w:szCs w:val="22"/>
              </w:rPr>
            </w:pPr>
            <w:r>
              <w:rPr>
                <w:rFonts w:hint="eastAsia" w:ascii="黑体" w:hAnsi="黑体" w:eastAsia="黑体" w:cs="黑体"/>
                <w:bCs/>
                <w:color w:val="auto"/>
                <w:szCs w:val="22"/>
              </w:rPr>
              <w:t xml:space="preserve">表3-3  </w:t>
            </w:r>
            <w:r>
              <w:rPr>
                <w:rFonts w:hint="eastAsia" w:ascii="黑体" w:hAnsi="黑体" w:eastAsia="黑体" w:cs="黑体"/>
                <w:color w:val="auto"/>
                <w:spacing w:val="6"/>
                <w:szCs w:val="22"/>
              </w:rPr>
              <w:t>地下水监测点位信息表</w:t>
            </w:r>
          </w:p>
          <w:tbl>
            <w:tblPr>
              <w:tblStyle w:val="35"/>
              <w:tblW w:w="162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930"/>
              <w:gridCol w:w="1140"/>
              <w:gridCol w:w="1029"/>
              <w:gridCol w:w="1099"/>
              <w:gridCol w:w="1144"/>
              <w:gridCol w:w="861"/>
              <w:gridCol w:w="1162"/>
              <w:gridCol w:w="1014"/>
              <w:gridCol w:w="1014"/>
              <w:gridCol w:w="529"/>
              <w:gridCol w:w="485"/>
              <w:gridCol w:w="1014"/>
              <w:gridCol w:w="1014"/>
              <w:gridCol w:w="1015"/>
              <w:gridCol w:w="1015"/>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92" w:type="dxa"/>
                  <w:vMerge w:val="restart"/>
                  <w:vAlign w:val="center"/>
                </w:tcPr>
                <w:p>
                  <w:pPr>
                    <w:snapToGrid w:val="0"/>
                    <w:jc w:val="center"/>
                    <w:rPr>
                      <w:color w:val="auto"/>
                      <w:szCs w:val="21"/>
                    </w:rPr>
                  </w:pPr>
                  <w:r>
                    <w:rPr>
                      <w:rFonts w:hint="eastAsia"/>
                      <w:color w:val="auto"/>
                      <w:szCs w:val="21"/>
                    </w:rPr>
                    <w:t>站场名称</w:t>
                  </w:r>
                </w:p>
              </w:tc>
              <w:tc>
                <w:tcPr>
                  <w:tcW w:w="930" w:type="dxa"/>
                  <w:vMerge w:val="restart"/>
                  <w:vAlign w:val="center"/>
                </w:tcPr>
                <w:p>
                  <w:pPr>
                    <w:snapToGrid w:val="0"/>
                    <w:jc w:val="center"/>
                    <w:rPr>
                      <w:color w:val="auto"/>
                      <w:szCs w:val="21"/>
                    </w:rPr>
                  </w:pPr>
                  <w:r>
                    <w:rPr>
                      <w:rFonts w:hint="eastAsia"/>
                      <w:color w:val="auto"/>
                      <w:szCs w:val="21"/>
                    </w:rPr>
                    <w:t>地下水井名称</w:t>
                  </w:r>
                </w:p>
              </w:tc>
              <w:tc>
                <w:tcPr>
                  <w:tcW w:w="2169" w:type="dxa"/>
                  <w:gridSpan w:val="2"/>
                  <w:vAlign w:val="center"/>
                </w:tcPr>
                <w:p>
                  <w:pPr>
                    <w:snapToGrid w:val="0"/>
                    <w:jc w:val="center"/>
                    <w:rPr>
                      <w:color w:val="auto"/>
                      <w:szCs w:val="21"/>
                    </w:rPr>
                  </w:pPr>
                  <w:r>
                    <w:rPr>
                      <w:rFonts w:hint="eastAsia"/>
                      <w:color w:val="auto"/>
                      <w:szCs w:val="21"/>
                    </w:rPr>
                    <w:t>坐标</w:t>
                  </w:r>
                </w:p>
              </w:tc>
              <w:tc>
                <w:tcPr>
                  <w:tcW w:w="1099" w:type="dxa"/>
                  <w:vMerge w:val="restart"/>
                  <w:vAlign w:val="center"/>
                </w:tcPr>
                <w:p>
                  <w:pPr>
                    <w:snapToGrid w:val="0"/>
                    <w:jc w:val="center"/>
                    <w:rPr>
                      <w:color w:val="auto"/>
                      <w:szCs w:val="21"/>
                    </w:rPr>
                  </w:pPr>
                  <w:r>
                    <w:rPr>
                      <w:rFonts w:hint="eastAsia"/>
                      <w:color w:val="auto"/>
                      <w:szCs w:val="21"/>
                    </w:rPr>
                    <w:t>井口标高（m）</w:t>
                  </w:r>
                </w:p>
              </w:tc>
              <w:tc>
                <w:tcPr>
                  <w:tcW w:w="1144" w:type="dxa"/>
                  <w:vMerge w:val="restart"/>
                  <w:vAlign w:val="center"/>
                </w:tcPr>
                <w:p>
                  <w:pPr>
                    <w:snapToGrid w:val="0"/>
                    <w:jc w:val="center"/>
                    <w:rPr>
                      <w:color w:val="auto"/>
                      <w:szCs w:val="21"/>
                    </w:rPr>
                  </w:pPr>
                  <w:r>
                    <w:rPr>
                      <w:rFonts w:hint="eastAsia"/>
                      <w:color w:val="auto"/>
                      <w:szCs w:val="21"/>
                    </w:rPr>
                    <w:t>水位标高（m）</w:t>
                  </w:r>
                </w:p>
              </w:tc>
              <w:tc>
                <w:tcPr>
                  <w:tcW w:w="861" w:type="dxa"/>
                  <w:vMerge w:val="restart"/>
                  <w:vAlign w:val="center"/>
                </w:tcPr>
                <w:p>
                  <w:pPr>
                    <w:snapToGrid w:val="0"/>
                    <w:jc w:val="center"/>
                    <w:rPr>
                      <w:color w:val="auto"/>
                      <w:szCs w:val="21"/>
                    </w:rPr>
                  </w:pPr>
                  <w:r>
                    <w:rPr>
                      <w:rFonts w:hint="eastAsia"/>
                      <w:color w:val="auto"/>
                      <w:szCs w:val="21"/>
                    </w:rPr>
                    <w:t>井深（m）</w:t>
                  </w:r>
                </w:p>
              </w:tc>
              <w:tc>
                <w:tcPr>
                  <w:tcW w:w="1162" w:type="dxa"/>
                  <w:vMerge w:val="restart"/>
                  <w:vAlign w:val="center"/>
                </w:tcPr>
                <w:p>
                  <w:pPr>
                    <w:snapToGrid w:val="0"/>
                    <w:jc w:val="center"/>
                    <w:rPr>
                      <w:color w:val="auto"/>
                      <w:szCs w:val="21"/>
                    </w:rPr>
                  </w:pPr>
                  <w:r>
                    <w:rPr>
                      <w:rFonts w:hint="eastAsia"/>
                      <w:color w:val="auto"/>
                      <w:szCs w:val="21"/>
                    </w:rPr>
                    <w:t>功能类型</w:t>
                  </w:r>
                </w:p>
              </w:tc>
              <w:tc>
                <w:tcPr>
                  <w:tcW w:w="1014" w:type="dxa"/>
                  <w:vMerge w:val="restart"/>
                  <w:vAlign w:val="center"/>
                </w:tcPr>
                <w:p>
                  <w:pPr>
                    <w:snapToGrid w:val="0"/>
                    <w:jc w:val="center"/>
                    <w:rPr>
                      <w:rFonts w:ascii="黑体" w:hAnsi="黑体" w:eastAsia="黑体" w:cs="黑体"/>
                      <w:color w:val="auto"/>
                      <w:spacing w:val="6"/>
                      <w:szCs w:val="22"/>
                    </w:rPr>
                  </w:pPr>
                </w:p>
              </w:tc>
              <w:tc>
                <w:tcPr>
                  <w:tcW w:w="1014" w:type="dxa"/>
                  <w:vMerge w:val="restart"/>
                  <w:vAlign w:val="center"/>
                </w:tcPr>
                <w:p>
                  <w:pPr>
                    <w:snapToGrid w:val="0"/>
                    <w:jc w:val="center"/>
                    <w:rPr>
                      <w:rFonts w:ascii="黑体" w:hAnsi="黑体" w:eastAsia="黑体" w:cs="黑体"/>
                      <w:color w:val="auto"/>
                      <w:spacing w:val="6"/>
                      <w:szCs w:val="22"/>
                    </w:rPr>
                  </w:pPr>
                </w:p>
              </w:tc>
              <w:tc>
                <w:tcPr>
                  <w:tcW w:w="1014" w:type="dxa"/>
                  <w:gridSpan w:val="2"/>
                  <w:vAlign w:val="center"/>
                </w:tcPr>
                <w:p>
                  <w:pPr>
                    <w:snapToGrid w:val="0"/>
                    <w:jc w:val="center"/>
                    <w:rPr>
                      <w:rFonts w:ascii="黑体" w:hAnsi="黑体" w:eastAsia="黑体" w:cs="黑体"/>
                      <w:color w:val="auto"/>
                      <w:spacing w:val="6"/>
                      <w:szCs w:val="22"/>
                    </w:rPr>
                  </w:pPr>
                </w:p>
              </w:tc>
              <w:tc>
                <w:tcPr>
                  <w:tcW w:w="1014" w:type="dxa"/>
                  <w:vMerge w:val="restart"/>
                  <w:vAlign w:val="center"/>
                </w:tcPr>
                <w:p>
                  <w:pPr>
                    <w:snapToGrid w:val="0"/>
                    <w:jc w:val="center"/>
                    <w:rPr>
                      <w:rFonts w:ascii="黑体" w:hAnsi="黑体" w:eastAsia="黑体" w:cs="黑体"/>
                      <w:color w:val="auto"/>
                      <w:spacing w:val="6"/>
                      <w:szCs w:val="22"/>
                    </w:rPr>
                  </w:pPr>
                </w:p>
              </w:tc>
              <w:tc>
                <w:tcPr>
                  <w:tcW w:w="1014" w:type="dxa"/>
                  <w:vMerge w:val="restart"/>
                  <w:vAlign w:val="center"/>
                </w:tcPr>
                <w:p>
                  <w:pPr>
                    <w:snapToGrid w:val="0"/>
                    <w:jc w:val="center"/>
                    <w:rPr>
                      <w:rFonts w:ascii="黑体" w:hAnsi="黑体" w:eastAsia="黑体" w:cs="黑体"/>
                      <w:color w:val="auto"/>
                      <w:spacing w:val="6"/>
                      <w:szCs w:val="22"/>
                    </w:rPr>
                  </w:pPr>
                </w:p>
              </w:tc>
              <w:tc>
                <w:tcPr>
                  <w:tcW w:w="1015" w:type="dxa"/>
                  <w:vMerge w:val="restart"/>
                  <w:vAlign w:val="center"/>
                </w:tcPr>
                <w:p>
                  <w:pPr>
                    <w:snapToGrid w:val="0"/>
                    <w:jc w:val="center"/>
                    <w:rPr>
                      <w:rFonts w:ascii="黑体" w:hAnsi="黑体" w:eastAsia="黑体" w:cs="黑体"/>
                      <w:color w:val="auto"/>
                      <w:spacing w:val="6"/>
                      <w:szCs w:val="22"/>
                    </w:rPr>
                  </w:pPr>
                </w:p>
              </w:tc>
              <w:tc>
                <w:tcPr>
                  <w:tcW w:w="1015" w:type="dxa"/>
                  <w:vMerge w:val="restart"/>
                  <w:vAlign w:val="center"/>
                </w:tcPr>
                <w:p>
                  <w:pPr>
                    <w:snapToGrid w:val="0"/>
                    <w:jc w:val="center"/>
                    <w:rPr>
                      <w:rFonts w:ascii="黑体" w:hAnsi="黑体" w:eastAsia="黑体" w:cs="黑体"/>
                      <w:color w:val="auto"/>
                      <w:spacing w:val="6"/>
                      <w:szCs w:val="22"/>
                    </w:rPr>
                  </w:pPr>
                </w:p>
              </w:tc>
              <w:tc>
                <w:tcPr>
                  <w:tcW w:w="1015" w:type="dxa"/>
                  <w:vMerge w:val="restart"/>
                  <w:vAlign w:val="center"/>
                </w:tcPr>
                <w:p>
                  <w:pPr>
                    <w:snapToGrid w:val="0"/>
                    <w:jc w:val="center"/>
                    <w:rPr>
                      <w:rFonts w:ascii="黑体" w:hAnsi="黑体" w:eastAsia="黑体" w:cs="黑体"/>
                      <w:color w:val="auto"/>
                      <w:spacing w:val="6"/>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2" w:type="dxa"/>
                  <w:vMerge w:val="continue"/>
                  <w:vAlign w:val="center"/>
                </w:tcPr>
                <w:p>
                  <w:pPr>
                    <w:snapToGrid w:val="0"/>
                    <w:jc w:val="center"/>
                    <w:rPr>
                      <w:color w:val="auto"/>
                      <w:szCs w:val="21"/>
                    </w:rPr>
                  </w:pPr>
                </w:p>
              </w:tc>
              <w:tc>
                <w:tcPr>
                  <w:tcW w:w="930" w:type="dxa"/>
                  <w:vMerge w:val="continue"/>
                  <w:vAlign w:val="center"/>
                </w:tcPr>
                <w:p>
                  <w:pPr>
                    <w:snapToGrid w:val="0"/>
                    <w:jc w:val="center"/>
                    <w:rPr>
                      <w:color w:val="auto"/>
                      <w:szCs w:val="21"/>
                    </w:rPr>
                  </w:pPr>
                </w:p>
              </w:tc>
              <w:tc>
                <w:tcPr>
                  <w:tcW w:w="1140" w:type="dxa"/>
                  <w:vAlign w:val="center"/>
                </w:tcPr>
                <w:p>
                  <w:pPr>
                    <w:snapToGrid w:val="0"/>
                    <w:jc w:val="center"/>
                    <w:rPr>
                      <w:color w:val="auto"/>
                      <w:szCs w:val="21"/>
                    </w:rPr>
                  </w:pPr>
                  <w:r>
                    <w:rPr>
                      <w:rFonts w:hint="eastAsia"/>
                      <w:color w:val="auto"/>
                      <w:szCs w:val="21"/>
                    </w:rPr>
                    <w:t>经度</w:t>
                  </w:r>
                </w:p>
              </w:tc>
              <w:tc>
                <w:tcPr>
                  <w:tcW w:w="1029" w:type="dxa"/>
                  <w:vAlign w:val="center"/>
                </w:tcPr>
                <w:p>
                  <w:pPr>
                    <w:snapToGrid w:val="0"/>
                    <w:jc w:val="center"/>
                    <w:rPr>
                      <w:color w:val="auto"/>
                      <w:szCs w:val="21"/>
                    </w:rPr>
                  </w:pPr>
                  <w:r>
                    <w:rPr>
                      <w:rFonts w:hint="eastAsia"/>
                      <w:color w:val="auto"/>
                      <w:szCs w:val="21"/>
                    </w:rPr>
                    <w:t>纬度</w:t>
                  </w:r>
                </w:p>
              </w:tc>
              <w:tc>
                <w:tcPr>
                  <w:tcW w:w="1099" w:type="dxa"/>
                  <w:vMerge w:val="continue"/>
                  <w:vAlign w:val="center"/>
                </w:tcPr>
                <w:p>
                  <w:pPr>
                    <w:snapToGrid w:val="0"/>
                    <w:jc w:val="center"/>
                    <w:rPr>
                      <w:color w:val="auto"/>
                      <w:szCs w:val="21"/>
                    </w:rPr>
                  </w:pPr>
                </w:p>
              </w:tc>
              <w:tc>
                <w:tcPr>
                  <w:tcW w:w="1144" w:type="dxa"/>
                  <w:vMerge w:val="continue"/>
                  <w:vAlign w:val="center"/>
                </w:tcPr>
                <w:p>
                  <w:pPr>
                    <w:snapToGrid w:val="0"/>
                    <w:jc w:val="center"/>
                    <w:rPr>
                      <w:color w:val="auto"/>
                      <w:szCs w:val="21"/>
                    </w:rPr>
                  </w:pPr>
                </w:p>
              </w:tc>
              <w:tc>
                <w:tcPr>
                  <w:tcW w:w="861" w:type="dxa"/>
                  <w:vMerge w:val="continue"/>
                  <w:vAlign w:val="center"/>
                </w:tcPr>
                <w:p>
                  <w:pPr>
                    <w:snapToGrid w:val="0"/>
                    <w:jc w:val="center"/>
                    <w:rPr>
                      <w:color w:val="auto"/>
                      <w:szCs w:val="21"/>
                    </w:rPr>
                  </w:pPr>
                </w:p>
              </w:tc>
              <w:tc>
                <w:tcPr>
                  <w:tcW w:w="1162" w:type="dxa"/>
                  <w:vMerge w:val="continue"/>
                  <w:vAlign w:val="center"/>
                </w:tcPr>
                <w:p>
                  <w:pPr>
                    <w:snapToGrid w:val="0"/>
                    <w:jc w:val="center"/>
                    <w:rPr>
                      <w:color w:val="auto"/>
                      <w:szCs w:val="21"/>
                    </w:rPr>
                  </w:pPr>
                </w:p>
              </w:tc>
              <w:tc>
                <w:tcPr>
                  <w:tcW w:w="1014" w:type="dxa"/>
                  <w:vMerge w:val="continue"/>
                  <w:vAlign w:val="center"/>
                </w:tcPr>
                <w:p>
                  <w:pPr>
                    <w:snapToGrid w:val="0"/>
                    <w:jc w:val="center"/>
                    <w:rPr>
                      <w:color w:val="auto"/>
                    </w:rPr>
                  </w:pPr>
                </w:p>
              </w:tc>
              <w:tc>
                <w:tcPr>
                  <w:tcW w:w="1014" w:type="dxa"/>
                  <w:vMerge w:val="continue"/>
                  <w:vAlign w:val="center"/>
                </w:tcPr>
                <w:p>
                  <w:pPr>
                    <w:snapToGrid w:val="0"/>
                    <w:jc w:val="center"/>
                    <w:rPr>
                      <w:color w:val="auto"/>
                    </w:rPr>
                  </w:pPr>
                </w:p>
              </w:tc>
              <w:tc>
                <w:tcPr>
                  <w:tcW w:w="529" w:type="dxa"/>
                  <w:vAlign w:val="center"/>
                </w:tcPr>
                <w:p>
                  <w:pPr>
                    <w:snapToGrid w:val="0"/>
                    <w:jc w:val="center"/>
                    <w:rPr>
                      <w:rFonts w:ascii="黑体" w:hAnsi="黑体" w:eastAsia="黑体" w:cs="黑体"/>
                      <w:color w:val="auto"/>
                      <w:spacing w:val="6"/>
                      <w:szCs w:val="22"/>
                    </w:rPr>
                  </w:pPr>
                </w:p>
              </w:tc>
              <w:tc>
                <w:tcPr>
                  <w:tcW w:w="485" w:type="dxa"/>
                  <w:vAlign w:val="center"/>
                </w:tcPr>
                <w:p>
                  <w:pPr>
                    <w:snapToGrid w:val="0"/>
                    <w:jc w:val="center"/>
                    <w:rPr>
                      <w:color w:val="auto"/>
                    </w:rPr>
                  </w:pPr>
                </w:p>
              </w:tc>
              <w:tc>
                <w:tcPr>
                  <w:tcW w:w="1014" w:type="dxa"/>
                  <w:vMerge w:val="continue"/>
                  <w:vAlign w:val="center"/>
                </w:tcPr>
                <w:p>
                  <w:pPr>
                    <w:snapToGrid w:val="0"/>
                    <w:jc w:val="center"/>
                    <w:rPr>
                      <w:rFonts w:ascii="黑体" w:hAnsi="黑体" w:eastAsia="黑体" w:cs="黑体"/>
                      <w:color w:val="auto"/>
                      <w:spacing w:val="6"/>
                      <w:szCs w:val="22"/>
                    </w:rPr>
                  </w:pPr>
                </w:p>
              </w:tc>
              <w:tc>
                <w:tcPr>
                  <w:tcW w:w="1014" w:type="dxa"/>
                  <w:vMerge w:val="continue"/>
                </w:tcPr>
                <w:p>
                  <w:pPr>
                    <w:pStyle w:val="9"/>
                    <w:ind w:firstLine="222"/>
                    <w:rPr>
                      <w:rFonts w:ascii="黑体" w:hAnsi="黑体" w:eastAsia="黑体" w:cs="黑体"/>
                      <w:color w:val="auto"/>
                      <w:spacing w:val="6"/>
                      <w:sz w:val="21"/>
                      <w:szCs w:val="22"/>
                    </w:rPr>
                  </w:pPr>
                </w:p>
              </w:tc>
              <w:tc>
                <w:tcPr>
                  <w:tcW w:w="1015" w:type="dxa"/>
                  <w:vMerge w:val="continue"/>
                </w:tcPr>
                <w:p>
                  <w:pPr>
                    <w:pStyle w:val="9"/>
                    <w:ind w:firstLine="222"/>
                    <w:rPr>
                      <w:rFonts w:ascii="黑体" w:hAnsi="黑体" w:eastAsia="黑体" w:cs="黑体"/>
                      <w:color w:val="auto"/>
                      <w:spacing w:val="6"/>
                      <w:sz w:val="21"/>
                      <w:szCs w:val="22"/>
                    </w:rPr>
                  </w:pPr>
                </w:p>
              </w:tc>
              <w:tc>
                <w:tcPr>
                  <w:tcW w:w="1015" w:type="dxa"/>
                  <w:vMerge w:val="continue"/>
                </w:tcPr>
                <w:p>
                  <w:pPr>
                    <w:pStyle w:val="9"/>
                    <w:ind w:firstLine="222"/>
                    <w:rPr>
                      <w:rFonts w:ascii="黑体" w:hAnsi="黑体" w:eastAsia="黑体" w:cs="黑体"/>
                      <w:color w:val="auto"/>
                      <w:spacing w:val="6"/>
                      <w:sz w:val="21"/>
                      <w:szCs w:val="22"/>
                    </w:rPr>
                  </w:pPr>
                </w:p>
              </w:tc>
              <w:tc>
                <w:tcPr>
                  <w:tcW w:w="1015" w:type="dxa"/>
                  <w:vMerge w:val="continue"/>
                </w:tcPr>
                <w:p>
                  <w:pPr>
                    <w:pStyle w:val="9"/>
                    <w:ind w:firstLine="222"/>
                    <w:rPr>
                      <w:rFonts w:ascii="黑体" w:hAnsi="黑体" w:eastAsia="黑体" w:cs="黑体"/>
                      <w:color w:val="auto"/>
                      <w:spacing w:val="6"/>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Align w:val="center"/>
                </w:tcPr>
                <w:p>
                  <w:pPr>
                    <w:snapToGrid w:val="0"/>
                    <w:jc w:val="center"/>
                    <w:rPr>
                      <w:color w:val="auto"/>
                      <w:szCs w:val="21"/>
                    </w:rPr>
                  </w:pPr>
                  <w:r>
                    <w:rPr>
                      <w:rFonts w:hint="eastAsia"/>
                      <w:color w:val="auto"/>
                      <w:szCs w:val="21"/>
                    </w:rPr>
                    <w:t>2511站场</w:t>
                  </w:r>
                </w:p>
              </w:tc>
              <w:tc>
                <w:tcPr>
                  <w:tcW w:w="930" w:type="dxa"/>
                  <w:vAlign w:val="center"/>
                </w:tcPr>
                <w:p>
                  <w:pPr>
                    <w:snapToGrid w:val="0"/>
                    <w:jc w:val="center"/>
                    <w:rPr>
                      <w:color w:val="auto"/>
                      <w:szCs w:val="21"/>
                    </w:rPr>
                  </w:pPr>
                  <w:r>
                    <w:rPr>
                      <w:rFonts w:hint="eastAsia"/>
                      <w:color w:val="auto"/>
                      <w:szCs w:val="21"/>
                    </w:rPr>
                    <w:t>定2603</w:t>
                  </w:r>
                </w:p>
              </w:tc>
              <w:tc>
                <w:tcPr>
                  <w:tcW w:w="1140" w:type="dxa"/>
                  <w:vAlign w:val="center"/>
                </w:tcPr>
                <w:p>
                  <w:pPr>
                    <w:snapToGrid w:val="0"/>
                    <w:jc w:val="center"/>
                    <w:rPr>
                      <w:color w:val="auto"/>
                      <w:szCs w:val="21"/>
                    </w:rPr>
                  </w:pPr>
                  <w:r>
                    <w:rPr>
                      <w:rFonts w:hint="eastAsia"/>
                      <w:color w:val="auto"/>
                      <w:szCs w:val="21"/>
                    </w:rPr>
                    <w:t>107.82409</w:t>
                  </w:r>
                </w:p>
              </w:tc>
              <w:tc>
                <w:tcPr>
                  <w:tcW w:w="1029" w:type="dxa"/>
                  <w:vAlign w:val="center"/>
                </w:tcPr>
                <w:p>
                  <w:pPr>
                    <w:snapToGrid w:val="0"/>
                    <w:jc w:val="center"/>
                    <w:rPr>
                      <w:color w:val="auto"/>
                      <w:szCs w:val="21"/>
                    </w:rPr>
                  </w:pPr>
                  <w:r>
                    <w:rPr>
                      <w:rFonts w:hint="eastAsia"/>
                      <w:color w:val="auto"/>
                      <w:szCs w:val="21"/>
                    </w:rPr>
                    <w:t>37.38307</w:t>
                  </w:r>
                </w:p>
              </w:tc>
              <w:tc>
                <w:tcPr>
                  <w:tcW w:w="1099" w:type="dxa"/>
                  <w:vAlign w:val="center"/>
                </w:tcPr>
                <w:p>
                  <w:pPr>
                    <w:snapToGrid w:val="0"/>
                    <w:jc w:val="center"/>
                    <w:rPr>
                      <w:color w:val="auto"/>
                      <w:szCs w:val="21"/>
                    </w:rPr>
                  </w:pPr>
                  <w:r>
                    <w:rPr>
                      <w:rFonts w:hint="eastAsia"/>
                      <w:color w:val="auto"/>
                      <w:szCs w:val="21"/>
                    </w:rPr>
                    <w:t>1788.32</w:t>
                  </w:r>
                </w:p>
              </w:tc>
              <w:tc>
                <w:tcPr>
                  <w:tcW w:w="1144" w:type="dxa"/>
                  <w:vAlign w:val="center"/>
                </w:tcPr>
                <w:p>
                  <w:pPr>
                    <w:snapToGrid w:val="0"/>
                    <w:jc w:val="center"/>
                    <w:rPr>
                      <w:color w:val="auto"/>
                      <w:szCs w:val="21"/>
                    </w:rPr>
                  </w:pPr>
                  <w:r>
                    <w:rPr>
                      <w:rFonts w:hint="eastAsia"/>
                      <w:color w:val="auto"/>
                      <w:szCs w:val="21"/>
                    </w:rPr>
                    <w:t>1197.26</w:t>
                  </w:r>
                </w:p>
              </w:tc>
              <w:tc>
                <w:tcPr>
                  <w:tcW w:w="861" w:type="dxa"/>
                  <w:vAlign w:val="center"/>
                </w:tcPr>
                <w:p>
                  <w:pPr>
                    <w:snapToGrid w:val="0"/>
                    <w:jc w:val="center"/>
                    <w:rPr>
                      <w:color w:val="auto"/>
                      <w:szCs w:val="21"/>
                    </w:rPr>
                  </w:pPr>
                  <w:r>
                    <w:rPr>
                      <w:rFonts w:hint="eastAsia"/>
                      <w:color w:val="auto"/>
                      <w:szCs w:val="21"/>
                    </w:rPr>
                    <w:t>830.22</w:t>
                  </w:r>
                </w:p>
              </w:tc>
              <w:tc>
                <w:tcPr>
                  <w:tcW w:w="1162" w:type="dxa"/>
                  <w:vMerge w:val="restart"/>
                  <w:vAlign w:val="center"/>
                </w:tcPr>
                <w:p>
                  <w:pPr>
                    <w:snapToGrid w:val="0"/>
                    <w:jc w:val="center"/>
                    <w:rPr>
                      <w:color w:val="auto"/>
                      <w:szCs w:val="21"/>
                    </w:rPr>
                  </w:pPr>
                  <w:r>
                    <w:rPr>
                      <w:rFonts w:hint="eastAsia"/>
                      <w:color w:val="auto"/>
                      <w:szCs w:val="21"/>
                    </w:rPr>
                    <w:t>工业用水</w:t>
                  </w:r>
                </w:p>
                <w:p>
                  <w:pPr>
                    <w:snapToGrid w:val="0"/>
                    <w:jc w:val="center"/>
                    <w:rPr>
                      <w:color w:val="auto"/>
                      <w:szCs w:val="21"/>
                    </w:rPr>
                  </w:pPr>
                  <w:r>
                    <w:rPr>
                      <w:rFonts w:hint="eastAsia"/>
                      <w:color w:val="auto"/>
                      <w:szCs w:val="21"/>
                    </w:rPr>
                    <w:t>（承压水）</w:t>
                  </w:r>
                </w:p>
              </w:tc>
              <w:tc>
                <w:tcPr>
                  <w:tcW w:w="1014" w:type="dxa"/>
                  <w:vAlign w:val="center"/>
                </w:tcPr>
                <w:p>
                  <w:pPr>
                    <w:snapToGrid w:val="0"/>
                    <w:jc w:val="center"/>
                    <w:rPr>
                      <w:rFonts w:ascii="黑体" w:hAnsi="黑体" w:eastAsia="黑体" w:cs="黑体"/>
                      <w:color w:val="auto"/>
                      <w:spacing w:val="6"/>
                      <w:szCs w:val="22"/>
                    </w:rPr>
                  </w:pPr>
                </w:p>
              </w:tc>
              <w:tc>
                <w:tcPr>
                  <w:tcW w:w="1014" w:type="dxa"/>
                  <w:vAlign w:val="center"/>
                </w:tcPr>
                <w:p>
                  <w:pPr>
                    <w:snapToGrid w:val="0"/>
                    <w:jc w:val="center"/>
                    <w:rPr>
                      <w:rFonts w:ascii="黑体" w:hAnsi="黑体" w:eastAsia="黑体" w:cs="黑体"/>
                      <w:color w:val="auto"/>
                      <w:spacing w:val="6"/>
                      <w:szCs w:val="22"/>
                    </w:rPr>
                  </w:pPr>
                </w:p>
              </w:tc>
              <w:tc>
                <w:tcPr>
                  <w:tcW w:w="529" w:type="dxa"/>
                  <w:vAlign w:val="center"/>
                </w:tcPr>
                <w:p>
                  <w:pPr>
                    <w:snapToGrid w:val="0"/>
                    <w:jc w:val="center"/>
                    <w:rPr>
                      <w:rFonts w:ascii="黑体" w:hAnsi="黑体" w:eastAsia="黑体" w:cs="黑体"/>
                      <w:color w:val="auto"/>
                      <w:spacing w:val="6"/>
                      <w:szCs w:val="22"/>
                    </w:rPr>
                  </w:pPr>
                </w:p>
              </w:tc>
              <w:tc>
                <w:tcPr>
                  <w:tcW w:w="485" w:type="dxa"/>
                  <w:vAlign w:val="center"/>
                </w:tcPr>
                <w:p>
                  <w:pPr>
                    <w:snapToGrid w:val="0"/>
                    <w:jc w:val="center"/>
                    <w:rPr>
                      <w:color w:val="auto"/>
                    </w:rPr>
                  </w:pPr>
                </w:p>
              </w:tc>
              <w:tc>
                <w:tcPr>
                  <w:tcW w:w="1014" w:type="dxa"/>
                  <w:vAlign w:val="center"/>
                </w:tcPr>
                <w:p>
                  <w:pPr>
                    <w:snapToGrid w:val="0"/>
                    <w:jc w:val="center"/>
                    <w:rPr>
                      <w:rFonts w:ascii="黑体" w:hAnsi="黑体" w:eastAsia="黑体" w:cs="黑体"/>
                      <w:color w:val="auto"/>
                      <w:spacing w:val="6"/>
                      <w:szCs w:val="22"/>
                    </w:rPr>
                  </w:pPr>
                </w:p>
              </w:tc>
              <w:tc>
                <w:tcPr>
                  <w:tcW w:w="1014" w:type="dxa"/>
                  <w:vAlign w:val="center"/>
                </w:tcPr>
                <w:p>
                  <w:pPr>
                    <w:snapToGrid w:val="0"/>
                    <w:jc w:val="center"/>
                    <w:rPr>
                      <w:rFonts w:ascii="黑体" w:hAnsi="黑体" w:eastAsia="黑体" w:cs="黑体"/>
                      <w:color w:val="auto"/>
                      <w:spacing w:val="6"/>
                      <w:szCs w:val="22"/>
                    </w:rPr>
                  </w:pPr>
                </w:p>
              </w:tc>
              <w:tc>
                <w:tcPr>
                  <w:tcW w:w="1015" w:type="dxa"/>
                  <w:vAlign w:val="center"/>
                </w:tcPr>
                <w:p>
                  <w:pPr>
                    <w:snapToGrid w:val="0"/>
                    <w:jc w:val="center"/>
                    <w:rPr>
                      <w:rFonts w:ascii="黑体" w:hAnsi="黑体" w:eastAsia="黑体" w:cs="黑体"/>
                      <w:color w:val="auto"/>
                      <w:spacing w:val="6"/>
                      <w:szCs w:val="22"/>
                    </w:rPr>
                  </w:pPr>
                </w:p>
              </w:tc>
              <w:tc>
                <w:tcPr>
                  <w:tcW w:w="1015" w:type="dxa"/>
                  <w:vAlign w:val="center"/>
                </w:tcPr>
                <w:p>
                  <w:pPr>
                    <w:snapToGrid w:val="0"/>
                    <w:jc w:val="center"/>
                    <w:rPr>
                      <w:rFonts w:ascii="黑体" w:hAnsi="黑体" w:eastAsia="黑体" w:cs="黑体"/>
                      <w:color w:val="auto"/>
                      <w:spacing w:val="6"/>
                      <w:szCs w:val="22"/>
                    </w:rPr>
                  </w:pPr>
                </w:p>
              </w:tc>
              <w:tc>
                <w:tcPr>
                  <w:tcW w:w="1015" w:type="dxa"/>
                  <w:vAlign w:val="center"/>
                </w:tcPr>
                <w:p>
                  <w:pPr>
                    <w:snapToGrid w:val="0"/>
                    <w:jc w:val="center"/>
                    <w:rPr>
                      <w:rFonts w:ascii="黑体" w:hAnsi="黑体" w:eastAsia="黑体" w:cs="黑体"/>
                      <w:color w:val="auto"/>
                      <w:spacing w:val="6"/>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92" w:type="dxa"/>
                  <w:vAlign w:val="center"/>
                </w:tcPr>
                <w:p>
                  <w:pPr>
                    <w:snapToGrid w:val="0"/>
                    <w:jc w:val="center"/>
                    <w:rPr>
                      <w:color w:val="auto"/>
                      <w:szCs w:val="21"/>
                    </w:rPr>
                  </w:pPr>
                  <w:r>
                    <w:rPr>
                      <w:rFonts w:hint="eastAsia"/>
                      <w:color w:val="auto"/>
                      <w:szCs w:val="21"/>
                    </w:rPr>
                    <w:t>3270站场</w:t>
                  </w:r>
                </w:p>
              </w:tc>
              <w:tc>
                <w:tcPr>
                  <w:tcW w:w="930" w:type="dxa"/>
                  <w:vAlign w:val="center"/>
                </w:tcPr>
                <w:p>
                  <w:pPr>
                    <w:snapToGrid w:val="0"/>
                    <w:jc w:val="center"/>
                    <w:rPr>
                      <w:color w:val="auto"/>
                      <w:szCs w:val="21"/>
                    </w:rPr>
                  </w:pPr>
                  <w:r>
                    <w:rPr>
                      <w:rFonts w:hint="eastAsia"/>
                      <w:color w:val="auto"/>
                      <w:szCs w:val="21"/>
                    </w:rPr>
                    <w:t>定3000-3</w:t>
                  </w:r>
                </w:p>
              </w:tc>
              <w:tc>
                <w:tcPr>
                  <w:tcW w:w="1140" w:type="dxa"/>
                  <w:vAlign w:val="center"/>
                </w:tcPr>
                <w:p>
                  <w:pPr>
                    <w:snapToGrid w:val="0"/>
                    <w:jc w:val="center"/>
                    <w:rPr>
                      <w:color w:val="auto"/>
                      <w:szCs w:val="21"/>
                    </w:rPr>
                  </w:pPr>
                  <w:r>
                    <w:rPr>
                      <w:rFonts w:hint="eastAsia"/>
                      <w:color w:val="auto"/>
                      <w:szCs w:val="21"/>
                    </w:rPr>
                    <w:t>107.51505</w:t>
                  </w:r>
                </w:p>
              </w:tc>
              <w:tc>
                <w:tcPr>
                  <w:tcW w:w="1029" w:type="dxa"/>
                  <w:vAlign w:val="center"/>
                </w:tcPr>
                <w:p>
                  <w:pPr>
                    <w:snapToGrid w:val="0"/>
                    <w:jc w:val="center"/>
                    <w:rPr>
                      <w:color w:val="auto"/>
                      <w:szCs w:val="21"/>
                    </w:rPr>
                  </w:pPr>
                  <w:r>
                    <w:rPr>
                      <w:rFonts w:hint="eastAsia"/>
                      <w:color w:val="auto"/>
                      <w:szCs w:val="21"/>
                    </w:rPr>
                    <w:t>37.44095</w:t>
                  </w:r>
                </w:p>
              </w:tc>
              <w:tc>
                <w:tcPr>
                  <w:tcW w:w="1099" w:type="dxa"/>
                  <w:vAlign w:val="center"/>
                </w:tcPr>
                <w:p>
                  <w:pPr>
                    <w:snapToGrid w:val="0"/>
                    <w:jc w:val="center"/>
                    <w:rPr>
                      <w:color w:val="auto"/>
                      <w:szCs w:val="21"/>
                    </w:rPr>
                  </w:pPr>
                  <w:r>
                    <w:rPr>
                      <w:rFonts w:hint="eastAsia"/>
                      <w:color w:val="auto"/>
                      <w:szCs w:val="21"/>
                    </w:rPr>
                    <w:t>1610.86</w:t>
                  </w:r>
                </w:p>
              </w:tc>
              <w:tc>
                <w:tcPr>
                  <w:tcW w:w="1144" w:type="dxa"/>
                  <w:vAlign w:val="center"/>
                </w:tcPr>
                <w:p>
                  <w:pPr>
                    <w:snapToGrid w:val="0"/>
                    <w:jc w:val="center"/>
                    <w:rPr>
                      <w:color w:val="auto"/>
                      <w:szCs w:val="21"/>
                    </w:rPr>
                  </w:pPr>
                  <w:r>
                    <w:rPr>
                      <w:rFonts w:hint="eastAsia"/>
                      <w:color w:val="auto"/>
                      <w:szCs w:val="21"/>
                    </w:rPr>
                    <w:t>1151.08</w:t>
                  </w:r>
                </w:p>
              </w:tc>
              <w:tc>
                <w:tcPr>
                  <w:tcW w:w="861" w:type="dxa"/>
                  <w:vAlign w:val="center"/>
                </w:tcPr>
                <w:p>
                  <w:pPr>
                    <w:snapToGrid w:val="0"/>
                    <w:jc w:val="center"/>
                    <w:rPr>
                      <w:color w:val="auto"/>
                      <w:szCs w:val="21"/>
                    </w:rPr>
                  </w:pPr>
                  <w:r>
                    <w:rPr>
                      <w:rFonts w:hint="eastAsia"/>
                      <w:color w:val="auto"/>
                      <w:szCs w:val="21"/>
                    </w:rPr>
                    <w:t>930.15</w:t>
                  </w:r>
                </w:p>
              </w:tc>
              <w:tc>
                <w:tcPr>
                  <w:tcW w:w="1162" w:type="dxa"/>
                  <w:vMerge w:val="continue"/>
                  <w:vAlign w:val="center"/>
                </w:tcPr>
                <w:p>
                  <w:pPr>
                    <w:snapToGrid w:val="0"/>
                    <w:jc w:val="center"/>
                    <w:rPr>
                      <w:color w:val="auto"/>
                      <w:szCs w:val="21"/>
                    </w:rPr>
                  </w:pPr>
                </w:p>
              </w:tc>
              <w:tc>
                <w:tcPr>
                  <w:tcW w:w="1014" w:type="dxa"/>
                  <w:vAlign w:val="center"/>
                </w:tcPr>
                <w:p>
                  <w:pPr>
                    <w:snapToGrid w:val="0"/>
                    <w:jc w:val="center"/>
                    <w:rPr>
                      <w:rFonts w:ascii="黑体" w:hAnsi="黑体" w:eastAsia="黑体" w:cs="黑体"/>
                      <w:color w:val="auto"/>
                      <w:spacing w:val="6"/>
                      <w:szCs w:val="22"/>
                    </w:rPr>
                  </w:pPr>
                </w:p>
              </w:tc>
              <w:tc>
                <w:tcPr>
                  <w:tcW w:w="1014" w:type="dxa"/>
                  <w:vAlign w:val="center"/>
                </w:tcPr>
                <w:p>
                  <w:pPr>
                    <w:snapToGrid w:val="0"/>
                    <w:jc w:val="center"/>
                    <w:rPr>
                      <w:rFonts w:ascii="黑体" w:hAnsi="黑体" w:eastAsia="黑体" w:cs="黑体"/>
                      <w:color w:val="auto"/>
                      <w:spacing w:val="6"/>
                      <w:szCs w:val="22"/>
                    </w:rPr>
                  </w:pPr>
                </w:p>
              </w:tc>
              <w:tc>
                <w:tcPr>
                  <w:tcW w:w="529" w:type="dxa"/>
                  <w:vAlign w:val="center"/>
                </w:tcPr>
                <w:p>
                  <w:pPr>
                    <w:snapToGrid w:val="0"/>
                    <w:jc w:val="center"/>
                    <w:rPr>
                      <w:rFonts w:ascii="黑体" w:hAnsi="黑体" w:eastAsia="黑体" w:cs="黑体"/>
                      <w:color w:val="auto"/>
                      <w:spacing w:val="6"/>
                      <w:szCs w:val="22"/>
                    </w:rPr>
                  </w:pPr>
                </w:p>
              </w:tc>
              <w:tc>
                <w:tcPr>
                  <w:tcW w:w="485" w:type="dxa"/>
                  <w:vAlign w:val="center"/>
                </w:tcPr>
                <w:p>
                  <w:pPr>
                    <w:snapToGrid w:val="0"/>
                    <w:jc w:val="center"/>
                    <w:rPr>
                      <w:color w:val="auto"/>
                    </w:rPr>
                  </w:pPr>
                </w:p>
              </w:tc>
              <w:tc>
                <w:tcPr>
                  <w:tcW w:w="1014" w:type="dxa"/>
                  <w:vAlign w:val="center"/>
                </w:tcPr>
                <w:p>
                  <w:pPr>
                    <w:snapToGrid w:val="0"/>
                    <w:jc w:val="center"/>
                    <w:rPr>
                      <w:rFonts w:ascii="黑体" w:hAnsi="黑体" w:eastAsia="黑体" w:cs="黑体"/>
                      <w:color w:val="auto"/>
                      <w:spacing w:val="6"/>
                      <w:szCs w:val="22"/>
                    </w:rPr>
                  </w:pPr>
                </w:p>
              </w:tc>
              <w:tc>
                <w:tcPr>
                  <w:tcW w:w="1014" w:type="dxa"/>
                  <w:vAlign w:val="center"/>
                </w:tcPr>
                <w:p>
                  <w:pPr>
                    <w:snapToGrid w:val="0"/>
                    <w:jc w:val="center"/>
                    <w:rPr>
                      <w:rFonts w:ascii="黑体" w:hAnsi="黑体" w:eastAsia="黑体" w:cs="黑体"/>
                      <w:color w:val="auto"/>
                      <w:spacing w:val="6"/>
                      <w:szCs w:val="22"/>
                    </w:rPr>
                  </w:pPr>
                </w:p>
              </w:tc>
              <w:tc>
                <w:tcPr>
                  <w:tcW w:w="1015" w:type="dxa"/>
                  <w:vAlign w:val="center"/>
                </w:tcPr>
                <w:p>
                  <w:pPr>
                    <w:snapToGrid w:val="0"/>
                    <w:jc w:val="center"/>
                    <w:rPr>
                      <w:rFonts w:ascii="黑体" w:hAnsi="黑体" w:eastAsia="黑体" w:cs="黑体"/>
                      <w:color w:val="auto"/>
                      <w:spacing w:val="6"/>
                      <w:szCs w:val="22"/>
                    </w:rPr>
                  </w:pPr>
                </w:p>
              </w:tc>
              <w:tc>
                <w:tcPr>
                  <w:tcW w:w="1015" w:type="dxa"/>
                  <w:vAlign w:val="center"/>
                </w:tcPr>
                <w:p>
                  <w:pPr>
                    <w:snapToGrid w:val="0"/>
                    <w:jc w:val="center"/>
                    <w:rPr>
                      <w:rFonts w:ascii="黑体" w:hAnsi="黑体" w:eastAsia="黑体" w:cs="黑体"/>
                      <w:color w:val="auto"/>
                      <w:spacing w:val="6"/>
                      <w:szCs w:val="22"/>
                    </w:rPr>
                  </w:pPr>
                </w:p>
              </w:tc>
              <w:tc>
                <w:tcPr>
                  <w:tcW w:w="1015" w:type="dxa"/>
                  <w:vAlign w:val="center"/>
                </w:tcPr>
                <w:p>
                  <w:pPr>
                    <w:snapToGrid w:val="0"/>
                    <w:jc w:val="center"/>
                    <w:rPr>
                      <w:rFonts w:ascii="黑体" w:hAnsi="黑体" w:eastAsia="黑体" w:cs="黑体"/>
                      <w:color w:val="auto"/>
                      <w:spacing w:val="6"/>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vAlign w:val="center"/>
                </w:tcPr>
                <w:p>
                  <w:pPr>
                    <w:snapToGrid w:val="0"/>
                    <w:jc w:val="center"/>
                    <w:rPr>
                      <w:color w:val="auto"/>
                      <w:szCs w:val="21"/>
                    </w:rPr>
                  </w:pPr>
                  <w:r>
                    <w:rPr>
                      <w:rFonts w:hint="eastAsia"/>
                      <w:color w:val="auto"/>
                      <w:szCs w:val="21"/>
                    </w:rPr>
                    <w:t>4926-4站场</w:t>
                  </w:r>
                </w:p>
              </w:tc>
              <w:tc>
                <w:tcPr>
                  <w:tcW w:w="930" w:type="dxa"/>
                  <w:vAlign w:val="center"/>
                </w:tcPr>
                <w:p>
                  <w:pPr>
                    <w:snapToGrid w:val="0"/>
                    <w:jc w:val="center"/>
                    <w:rPr>
                      <w:color w:val="auto"/>
                      <w:szCs w:val="21"/>
                    </w:rPr>
                  </w:pPr>
                  <w:r>
                    <w:rPr>
                      <w:rFonts w:hint="eastAsia"/>
                      <w:color w:val="auto"/>
                      <w:szCs w:val="21"/>
                    </w:rPr>
                    <w:t>定4926-3</w:t>
                  </w:r>
                </w:p>
              </w:tc>
              <w:tc>
                <w:tcPr>
                  <w:tcW w:w="1140" w:type="dxa"/>
                  <w:vAlign w:val="center"/>
                </w:tcPr>
                <w:p>
                  <w:pPr>
                    <w:snapToGrid w:val="0"/>
                    <w:jc w:val="center"/>
                    <w:rPr>
                      <w:color w:val="auto"/>
                      <w:szCs w:val="21"/>
                    </w:rPr>
                  </w:pPr>
                  <w:r>
                    <w:rPr>
                      <w:rFonts w:hint="eastAsia"/>
                      <w:color w:val="auto"/>
                      <w:szCs w:val="21"/>
                    </w:rPr>
                    <w:t>107.62164</w:t>
                  </w:r>
                </w:p>
              </w:tc>
              <w:tc>
                <w:tcPr>
                  <w:tcW w:w="1029" w:type="dxa"/>
                  <w:vAlign w:val="center"/>
                </w:tcPr>
                <w:p>
                  <w:pPr>
                    <w:snapToGrid w:val="0"/>
                    <w:jc w:val="center"/>
                    <w:rPr>
                      <w:color w:val="auto"/>
                      <w:szCs w:val="21"/>
                    </w:rPr>
                  </w:pPr>
                  <w:r>
                    <w:rPr>
                      <w:rFonts w:hint="eastAsia"/>
                      <w:color w:val="auto"/>
                      <w:szCs w:val="21"/>
                    </w:rPr>
                    <w:t>36.95610</w:t>
                  </w:r>
                </w:p>
              </w:tc>
              <w:tc>
                <w:tcPr>
                  <w:tcW w:w="1099" w:type="dxa"/>
                  <w:vAlign w:val="center"/>
                </w:tcPr>
                <w:p>
                  <w:pPr>
                    <w:snapToGrid w:val="0"/>
                    <w:jc w:val="center"/>
                    <w:rPr>
                      <w:color w:val="auto"/>
                      <w:szCs w:val="21"/>
                    </w:rPr>
                  </w:pPr>
                  <w:r>
                    <w:rPr>
                      <w:rFonts w:hint="eastAsia"/>
                      <w:color w:val="auto"/>
                      <w:szCs w:val="21"/>
                    </w:rPr>
                    <w:t>1646.43</w:t>
                  </w:r>
                </w:p>
              </w:tc>
              <w:tc>
                <w:tcPr>
                  <w:tcW w:w="1144" w:type="dxa"/>
                  <w:vAlign w:val="center"/>
                </w:tcPr>
                <w:p>
                  <w:pPr>
                    <w:snapToGrid w:val="0"/>
                    <w:jc w:val="center"/>
                    <w:rPr>
                      <w:color w:val="auto"/>
                      <w:szCs w:val="21"/>
                    </w:rPr>
                  </w:pPr>
                  <w:r>
                    <w:rPr>
                      <w:rFonts w:hint="eastAsia"/>
                      <w:color w:val="auto"/>
                      <w:szCs w:val="21"/>
                    </w:rPr>
                    <w:t>0085.94</w:t>
                  </w:r>
                </w:p>
              </w:tc>
              <w:tc>
                <w:tcPr>
                  <w:tcW w:w="861" w:type="dxa"/>
                  <w:vAlign w:val="center"/>
                </w:tcPr>
                <w:p>
                  <w:pPr>
                    <w:snapToGrid w:val="0"/>
                    <w:jc w:val="center"/>
                    <w:rPr>
                      <w:color w:val="auto"/>
                      <w:szCs w:val="21"/>
                    </w:rPr>
                  </w:pPr>
                  <w:r>
                    <w:rPr>
                      <w:rFonts w:hint="eastAsia"/>
                      <w:color w:val="auto"/>
                      <w:szCs w:val="21"/>
                    </w:rPr>
                    <w:t>980.68</w:t>
                  </w:r>
                </w:p>
              </w:tc>
              <w:tc>
                <w:tcPr>
                  <w:tcW w:w="1162" w:type="dxa"/>
                  <w:vMerge w:val="continue"/>
                  <w:vAlign w:val="center"/>
                </w:tcPr>
                <w:p>
                  <w:pPr>
                    <w:snapToGrid w:val="0"/>
                    <w:jc w:val="center"/>
                    <w:rPr>
                      <w:color w:val="auto"/>
                      <w:szCs w:val="21"/>
                    </w:rPr>
                  </w:pPr>
                </w:p>
              </w:tc>
              <w:tc>
                <w:tcPr>
                  <w:tcW w:w="1014" w:type="dxa"/>
                  <w:vAlign w:val="center"/>
                </w:tcPr>
                <w:p>
                  <w:pPr>
                    <w:snapToGrid w:val="0"/>
                    <w:jc w:val="center"/>
                    <w:rPr>
                      <w:rFonts w:ascii="黑体" w:hAnsi="黑体" w:eastAsia="黑体" w:cs="黑体"/>
                      <w:color w:val="auto"/>
                      <w:spacing w:val="6"/>
                      <w:szCs w:val="22"/>
                    </w:rPr>
                  </w:pPr>
                </w:p>
              </w:tc>
              <w:tc>
                <w:tcPr>
                  <w:tcW w:w="1014" w:type="dxa"/>
                  <w:vAlign w:val="center"/>
                </w:tcPr>
                <w:p>
                  <w:pPr>
                    <w:snapToGrid w:val="0"/>
                    <w:jc w:val="center"/>
                    <w:rPr>
                      <w:rFonts w:ascii="黑体" w:hAnsi="黑体" w:eastAsia="黑体" w:cs="黑体"/>
                      <w:color w:val="auto"/>
                      <w:spacing w:val="6"/>
                      <w:szCs w:val="22"/>
                    </w:rPr>
                  </w:pPr>
                </w:p>
              </w:tc>
              <w:tc>
                <w:tcPr>
                  <w:tcW w:w="529" w:type="dxa"/>
                  <w:vAlign w:val="center"/>
                </w:tcPr>
                <w:p>
                  <w:pPr>
                    <w:snapToGrid w:val="0"/>
                    <w:jc w:val="center"/>
                    <w:rPr>
                      <w:rFonts w:ascii="黑体" w:hAnsi="黑体" w:eastAsia="黑体" w:cs="黑体"/>
                      <w:color w:val="auto"/>
                      <w:spacing w:val="6"/>
                      <w:szCs w:val="22"/>
                    </w:rPr>
                  </w:pPr>
                </w:p>
              </w:tc>
              <w:tc>
                <w:tcPr>
                  <w:tcW w:w="485" w:type="dxa"/>
                  <w:vAlign w:val="center"/>
                </w:tcPr>
                <w:p>
                  <w:pPr>
                    <w:snapToGrid w:val="0"/>
                    <w:jc w:val="center"/>
                    <w:rPr>
                      <w:color w:val="auto"/>
                    </w:rPr>
                  </w:pPr>
                </w:p>
              </w:tc>
              <w:tc>
                <w:tcPr>
                  <w:tcW w:w="1014" w:type="dxa"/>
                  <w:vAlign w:val="center"/>
                </w:tcPr>
                <w:p>
                  <w:pPr>
                    <w:snapToGrid w:val="0"/>
                    <w:jc w:val="center"/>
                    <w:rPr>
                      <w:rFonts w:ascii="黑体" w:hAnsi="黑体" w:eastAsia="黑体" w:cs="黑体"/>
                      <w:color w:val="auto"/>
                      <w:spacing w:val="6"/>
                      <w:szCs w:val="22"/>
                    </w:rPr>
                  </w:pPr>
                </w:p>
              </w:tc>
              <w:tc>
                <w:tcPr>
                  <w:tcW w:w="1014" w:type="dxa"/>
                  <w:vAlign w:val="center"/>
                </w:tcPr>
                <w:p>
                  <w:pPr>
                    <w:snapToGrid w:val="0"/>
                    <w:jc w:val="center"/>
                    <w:rPr>
                      <w:rFonts w:ascii="黑体" w:hAnsi="黑体" w:eastAsia="黑体" w:cs="黑体"/>
                      <w:color w:val="auto"/>
                      <w:spacing w:val="6"/>
                      <w:szCs w:val="22"/>
                    </w:rPr>
                  </w:pPr>
                </w:p>
              </w:tc>
              <w:tc>
                <w:tcPr>
                  <w:tcW w:w="1015" w:type="dxa"/>
                  <w:vAlign w:val="center"/>
                </w:tcPr>
                <w:p>
                  <w:pPr>
                    <w:snapToGrid w:val="0"/>
                    <w:jc w:val="center"/>
                    <w:rPr>
                      <w:rFonts w:ascii="黑体" w:hAnsi="黑体" w:eastAsia="黑体" w:cs="黑体"/>
                      <w:color w:val="auto"/>
                      <w:spacing w:val="6"/>
                      <w:szCs w:val="22"/>
                    </w:rPr>
                  </w:pPr>
                </w:p>
              </w:tc>
              <w:tc>
                <w:tcPr>
                  <w:tcW w:w="1015" w:type="dxa"/>
                  <w:vAlign w:val="center"/>
                </w:tcPr>
                <w:p>
                  <w:pPr>
                    <w:snapToGrid w:val="0"/>
                    <w:jc w:val="center"/>
                    <w:rPr>
                      <w:rFonts w:ascii="黑体" w:hAnsi="黑体" w:eastAsia="黑体" w:cs="黑体"/>
                      <w:color w:val="auto"/>
                      <w:spacing w:val="6"/>
                      <w:szCs w:val="22"/>
                    </w:rPr>
                  </w:pPr>
                </w:p>
              </w:tc>
              <w:tc>
                <w:tcPr>
                  <w:tcW w:w="1015" w:type="dxa"/>
                  <w:vAlign w:val="center"/>
                </w:tcPr>
                <w:p>
                  <w:pPr>
                    <w:snapToGrid w:val="0"/>
                    <w:jc w:val="center"/>
                    <w:rPr>
                      <w:rFonts w:ascii="黑体" w:hAnsi="黑体" w:eastAsia="黑体" w:cs="黑体"/>
                      <w:color w:val="auto"/>
                      <w:spacing w:val="6"/>
                      <w:szCs w:val="22"/>
                    </w:rPr>
                  </w:pPr>
                </w:p>
              </w:tc>
            </w:tr>
          </w:tbl>
          <w:p>
            <w:pPr>
              <w:spacing w:line="360" w:lineRule="auto"/>
              <w:ind w:firstLine="480" w:firstLineChars="200"/>
              <w:rPr>
                <w:color w:val="auto"/>
              </w:rPr>
            </w:pPr>
            <w:r>
              <w:rPr>
                <w:color w:val="auto"/>
                <w:sz w:val="24"/>
              </w:rPr>
              <w:t>⑵ 监测因子</w:t>
            </w:r>
          </w:p>
          <w:p>
            <w:pPr>
              <w:spacing w:line="360" w:lineRule="auto"/>
              <w:ind w:firstLine="480" w:firstLineChars="200"/>
              <w:rPr>
                <w:color w:val="auto"/>
                <w:sz w:val="24"/>
              </w:rPr>
            </w:pPr>
            <w:r>
              <w:rPr>
                <w:rFonts w:hint="eastAsia"/>
                <w:color w:val="auto"/>
                <w:sz w:val="24"/>
              </w:rPr>
              <w:t>钾、钠、钙、镁、碱度（碳酸盐碱度、重碳酸盐碱度）、氯化物、硫酸盐、</w:t>
            </w:r>
            <w:r>
              <w:rPr>
                <w:color w:val="auto"/>
                <w:sz w:val="24"/>
              </w:rPr>
              <w:t>pH、</w:t>
            </w:r>
            <w:r>
              <w:rPr>
                <w:rFonts w:hint="eastAsia" w:hAnsi="宋体"/>
                <w:bCs/>
                <w:color w:val="auto"/>
                <w:sz w:val="24"/>
              </w:rPr>
              <w:t>耗氧量、氨氮、挥发性酚类、氰化物、砷、汞、铬（六价）、铅、氟化物、镉、铁、锰、总硬度、溶解性总固体、石油类，共24项</w:t>
            </w:r>
            <w:r>
              <w:rPr>
                <w:color w:val="auto"/>
                <w:sz w:val="24"/>
              </w:rPr>
              <w:t>。</w:t>
            </w:r>
          </w:p>
          <w:p>
            <w:pPr>
              <w:spacing w:line="360" w:lineRule="auto"/>
              <w:ind w:firstLine="480" w:firstLineChars="200"/>
              <w:rPr>
                <w:color w:val="auto"/>
                <w:sz w:val="24"/>
              </w:rPr>
            </w:pPr>
            <w:r>
              <w:rPr>
                <w:rFonts w:hint="eastAsia"/>
                <w:color w:val="auto"/>
                <w:sz w:val="24"/>
              </w:rPr>
              <w:t>⑶ 监测时间及方法</w:t>
            </w:r>
          </w:p>
          <w:p>
            <w:pPr>
              <w:spacing w:line="360" w:lineRule="auto"/>
              <w:ind w:firstLine="480" w:firstLineChars="200"/>
              <w:rPr>
                <w:color w:val="auto"/>
                <w:sz w:val="24"/>
              </w:rPr>
            </w:pPr>
            <w:r>
              <w:rPr>
                <w:rFonts w:hint="eastAsia"/>
                <w:color w:val="auto"/>
                <w:sz w:val="24"/>
              </w:rPr>
              <w:t>榆林市碧清环保科技有限公司于2023年9月13日对地下水进行了监测，监测方法采用国家标准和国家环保局《地下水环境监测技术规范》（HJ/T164-2020）中的监测方法。监测项目分析方法见表3-4。</w:t>
            </w:r>
          </w:p>
          <w:p>
            <w:pPr>
              <w:snapToGrid w:val="0"/>
              <w:spacing w:line="360" w:lineRule="auto"/>
              <w:jc w:val="center"/>
              <w:rPr>
                <w:rFonts w:ascii="黑体" w:hAnsi="黑体" w:eastAsia="黑体" w:cs="黑体"/>
                <w:color w:val="auto"/>
                <w:szCs w:val="22"/>
              </w:rPr>
            </w:pPr>
            <w:r>
              <w:rPr>
                <w:rFonts w:hint="eastAsia" w:ascii="黑体" w:hAnsi="黑体" w:eastAsia="黑体" w:cs="黑体"/>
                <w:bCs/>
                <w:color w:val="auto"/>
                <w:szCs w:val="22"/>
              </w:rPr>
              <w:t xml:space="preserve">表3-4  </w:t>
            </w:r>
            <w:r>
              <w:rPr>
                <w:rFonts w:hint="eastAsia" w:ascii="黑体" w:hAnsi="黑体" w:eastAsia="黑体" w:cs="黑体"/>
                <w:color w:val="auto"/>
                <w:spacing w:val="6"/>
                <w:szCs w:val="22"/>
              </w:rPr>
              <w:t>地下</w:t>
            </w:r>
            <w:r>
              <w:rPr>
                <w:rFonts w:hint="eastAsia" w:ascii="黑体" w:hAnsi="黑体" w:eastAsia="黑体" w:cs="黑体"/>
                <w:color w:val="auto"/>
                <w:szCs w:val="22"/>
              </w:rPr>
              <w:t>监测项目分析方法</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999"/>
              <w:gridCol w:w="2794"/>
              <w:gridCol w:w="2165"/>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color w:val="auto"/>
                      <w:szCs w:val="21"/>
                    </w:rPr>
                    <w:t>序号</w:t>
                  </w:r>
                </w:p>
              </w:tc>
              <w:tc>
                <w:tcPr>
                  <w:tcW w:w="999"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color w:val="auto"/>
                      <w:szCs w:val="21"/>
                    </w:rPr>
                    <w:t>污染物</w:t>
                  </w:r>
                </w:p>
              </w:tc>
              <w:tc>
                <w:tcPr>
                  <w:tcW w:w="2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color w:val="auto"/>
                      <w:szCs w:val="21"/>
                    </w:rPr>
                    <w:t>检测方法/依据</w:t>
                  </w:r>
                </w:p>
              </w:tc>
              <w:tc>
                <w:tcPr>
                  <w:tcW w:w="216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color w:val="auto"/>
                      <w:szCs w:val="21"/>
                    </w:rPr>
                    <w:t>仪器设备名称</w:t>
                  </w:r>
                </w:p>
                <w:p>
                  <w:pPr>
                    <w:spacing w:line="300" w:lineRule="exact"/>
                    <w:jc w:val="center"/>
                    <w:rPr>
                      <w:color w:val="auto"/>
                      <w:szCs w:val="21"/>
                    </w:rPr>
                  </w:pPr>
                  <w:r>
                    <w:rPr>
                      <w:color w:val="auto"/>
                      <w:szCs w:val="21"/>
                    </w:rPr>
                    <w:t>及编号</w:t>
                  </w:r>
                </w:p>
              </w:tc>
              <w:tc>
                <w:tcPr>
                  <w:tcW w:w="13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color w:val="auto"/>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color w:val="auto"/>
                      <w:szCs w:val="21"/>
                    </w:rPr>
                    <w:t>1</w:t>
                  </w:r>
                </w:p>
              </w:tc>
              <w:tc>
                <w:tcPr>
                  <w:tcW w:w="99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pH</w:t>
                  </w:r>
                </w:p>
              </w:tc>
              <w:tc>
                <w:tcPr>
                  <w:tcW w:w="2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color w:val="auto"/>
                      <w:szCs w:val="21"/>
                    </w:rPr>
                    <w:t>水质pH值的测定电极法HJ1147-2020</w:t>
                  </w:r>
                </w:p>
              </w:tc>
              <w:tc>
                <w:tcPr>
                  <w:tcW w:w="216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color w:val="auto"/>
                      <w:szCs w:val="21"/>
                    </w:rPr>
                    <w:t>HQ40D</w:t>
                  </w:r>
                  <w:r>
                    <w:rPr>
                      <w:rFonts w:hint="eastAsia"/>
                      <w:color w:val="auto"/>
                      <w:szCs w:val="21"/>
                    </w:rPr>
                    <w:t>便携式多参数测试仪</w:t>
                  </w:r>
                  <w:r>
                    <w:rPr>
                      <w:color w:val="auto"/>
                      <w:szCs w:val="21"/>
                    </w:rPr>
                    <w:t>YLBQ-YQ-03</w:t>
                  </w:r>
                </w:p>
              </w:tc>
              <w:tc>
                <w:tcPr>
                  <w:tcW w:w="1354"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color w:val="auto"/>
                      <w:szCs w:val="21"/>
                    </w:rPr>
                    <w:t>2</w:t>
                  </w:r>
                </w:p>
              </w:tc>
              <w:tc>
                <w:tcPr>
                  <w:tcW w:w="99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氨氮</w:t>
                  </w:r>
                </w:p>
              </w:tc>
              <w:tc>
                <w:tcPr>
                  <w:tcW w:w="2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水质氨氮的测定</w:t>
                  </w:r>
                </w:p>
                <w:p>
                  <w:pPr>
                    <w:spacing w:line="300" w:lineRule="exact"/>
                    <w:jc w:val="center"/>
                    <w:rPr>
                      <w:color w:val="auto"/>
                      <w:szCs w:val="21"/>
                    </w:rPr>
                  </w:pPr>
                  <w:r>
                    <w:rPr>
                      <w:rFonts w:hint="eastAsia"/>
                      <w:color w:val="auto"/>
                      <w:szCs w:val="21"/>
                    </w:rPr>
                    <w:t>纳氏试剂分光光度法HJ535-2009</w:t>
                  </w:r>
                </w:p>
              </w:tc>
              <w:tc>
                <w:tcPr>
                  <w:tcW w:w="216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SP722可见分光光度YLBQ-YQ-12</w:t>
                  </w:r>
                </w:p>
              </w:tc>
              <w:tc>
                <w:tcPr>
                  <w:tcW w:w="13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color w:val="auto"/>
                      <w:szCs w:val="21"/>
                    </w:rPr>
                    <w:t>3</w:t>
                  </w:r>
                </w:p>
              </w:tc>
              <w:tc>
                <w:tcPr>
                  <w:tcW w:w="99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挥发酚</w:t>
                  </w:r>
                </w:p>
              </w:tc>
              <w:tc>
                <w:tcPr>
                  <w:tcW w:w="2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水质挥发酚的测定</w:t>
                  </w:r>
                </w:p>
                <w:p>
                  <w:pPr>
                    <w:spacing w:line="300" w:lineRule="exact"/>
                    <w:jc w:val="center"/>
                    <w:rPr>
                      <w:color w:val="auto"/>
                      <w:szCs w:val="21"/>
                    </w:rPr>
                  </w:pPr>
                  <w:r>
                    <w:rPr>
                      <w:rFonts w:hint="eastAsia"/>
                      <w:color w:val="auto"/>
                      <w:szCs w:val="21"/>
                    </w:rPr>
                    <w:t>4-氨基安替比林分光光度法HJ503-2009</w:t>
                  </w:r>
                </w:p>
              </w:tc>
              <w:tc>
                <w:tcPr>
                  <w:tcW w:w="216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SP722可见分光光度计YLBQ-YQ-12</w:t>
                  </w:r>
                </w:p>
              </w:tc>
              <w:tc>
                <w:tcPr>
                  <w:tcW w:w="13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0.0003mg/L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color w:val="auto"/>
                      <w:szCs w:val="21"/>
                    </w:rPr>
                    <w:t>4</w:t>
                  </w:r>
                </w:p>
              </w:tc>
              <w:tc>
                <w:tcPr>
                  <w:tcW w:w="99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六价铬</w:t>
                  </w:r>
                </w:p>
              </w:tc>
              <w:tc>
                <w:tcPr>
                  <w:tcW w:w="2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生活饮用水标准检验方法金属指标</w:t>
                  </w:r>
                </w:p>
                <w:p>
                  <w:pPr>
                    <w:spacing w:line="300" w:lineRule="exact"/>
                    <w:jc w:val="center"/>
                    <w:rPr>
                      <w:color w:val="auto"/>
                      <w:szCs w:val="21"/>
                    </w:rPr>
                  </w:pPr>
                  <w:r>
                    <w:rPr>
                      <w:rFonts w:hint="eastAsia"/>
                      <w:color w:val="auto"/>
                      <w:szCs w:val="21"/>
                    </w:rPr>
                    <w:t>GB/T5750.6-2006(10.1)</w:t>
                  </w:r>
                </w:p>
              </w:tc>
              <w:tc>
                <w:tcPr>
                  <w:tcW w:w="216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SP722可见分光光度计YLBQ-YQ-12</w:t>
                  </w:r>
                </w:p>
              </w:tc>
              <w:tc>
                <w:tcPr>
                  <w:tcW w:w="13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0.004mg/L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color w:val="auto"/>
                      <w:szCs w:val="21"/>
                    </w:rPr>
                    <w:t>5</w:t>
                  </w:r>
                </w:p>
              </w:tc>
              <w:tc>
                <w:tcPr>
                  <w:tcW w:w="99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耗氧量</w:t>
                  </w:r>
                </w:p>
              </w:tc>
              <w:tc>
                <w:tcPr>
                  <w:tcW w:w="2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生活饮用水标准检验方法有机物综合指标</w:t>
                  </w:r>
                </w:p>
                <w:p>
                  <w:pPr>
                    <w:spacing w:line="300" w:lineRule="exact"/>
                    <w:jc w:val="center"/>
                    <w:rPr>
                      <w:color w:val="auto"/>
                      <w:szCs w:val="21"/>
                    </w:rPr>
                  </w:pPr>
                  <w:r>
                    <w:rPr>
                      <w:rFonts w:hint="eastAsia"/>
                      <w:color w:val="auto"/>
                      <w:szCs w:val="21"/>
                    </w:rPr>
                    <w:t>GB/T5750.7-2006(1.1)</w:t>
                  </w:r>
                </w:p>
              </w:tc>
              <w:tc>
                <w:tcPr>
                  <w:tcW w:w="216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25ml酸式滴定管</w:t>
                  </w:r>
                </w:p>
              </w:tc>
              <w:tc>
                <w:tcPr>
                  <w:tcW w:w="13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color w:val="auto"/>
                      <w:szCs w:val="21"/>
                    </w:rPr>
                    <w:t>6</w:t>
                  </w:r>
                </w:p>
              </w:tc>
              <w:tc>
                <w:tcPr>
                  <w:tcW w:w="99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溶解性</w:t>
                  </w:r>
                </w:p>
                <w:p>
                  <w:pPr>
                    <w:spacing w:line="300" w:lineRule="exact"/>
                    <w:jc w:val="center"/>
                    <w:rPr>
                      <w:color w:val="auto"/>
                      <w:szCs w:val="21"/>
                    </w:rPr>
                  </w:pPr>
                  <w:r>
                    <w:rPr>
                      <w:rFonts w:hint="eastAsia"/>
                      <w:color w:val="auto"/>
                      <w:szCs w:val="21"/>
                    </w:rPr>
                    <w:t>总固体</w:t>
                  </w:r>
                </w:p>
              </w:tc>
              <w:tc>
                <w:tcPr>
                  <w:tcW w:w="2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生活饮用水标准检验方法感官性状和物理指标</w:t>
                  </w:r>
                </w:p>
                <w:p>
                  <w:pPr>
                    <w:spacing w:line="300" w:lineRule="exact"/>
                    <w:jc w:val="center"/>
                    <w:rPr>
                      <w:color w:val="auto"/>
                      <w:szCs w:val="21"/>
                    </w:rPr>
                  </w:pPr>
                  <w:r>
                    <w:rPr>
                      <w:rFonts w:hint="eastAsia"/>
                      <w:color w:val="auto"/>
                      <w:szCs w:val="21"/>
                    </w:rPr>
                    <w:t>GB/T5750.4-2006(8.1)</w:t>
                  </w:r>
                </w:p>
              </w:tc>
              <w:tc>
                <w:tcPr>
                  <w:tcW w:w="216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color w:val="auto"/>
                      <w:szCs w:val="21"/>
                    </w:rPr>
                    <w:t>BSA224S万分之一电子天平YLBQ-YQ-18</w:t>
                  </w:r>
                </w:p>
                <w:p>
                  <w:pPr>
                    <w:spacing w:line="300" w:lineRule="exact"/>
                    <w:jc w:val="center"/>
                    <w:rPr>
                      <w:color w:val="auto"/>
                      <w:szCs w:val="21"/>
                    </w:rPr>
                  </w:pPr>
                  <w:r>
                    <w:rPr>
                      <w:rFonts w:hint="eastAsia"/>
                      <w:color w:val="auto"/>
                      <w:szCs w:val="21"/>
                    </w:rPr>
                    <w:t>电热恒温鼓风干燥箱YLBQ-YQ-09</w:t>
                  </w:r>
                </w:p>
              </w:tc>
              <w:tc>
                <w:tcPr>
                  <w:tcW w:w="13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rFonts w:hint="eastAsia"/>
                      <w:color w:val="auto"/>
                      <w:szCs w:val="21"/>
                    </w:rPr>
                    <w:t>10</w:t>
                  </w:r>
                  <w:r>
                    <w:rPr>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color w:val="auto"/>
                      <w:szCs w:val="21"/>
                    </w:rPr>
                    <w:t>7</w:t>
                  </w:r>
                </w:p>
              </w:tc>
              <w:tc>
                <w:tcPr>
                  <w:tcW w:w="999"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color w:val="auto"/>
                      <w:szCs w:val="21"/>
                    </w:rPr>
                  </w:pPr>
                  <w:r>
                    <w:rPr>
                      <w:rFonts w:hint="eastAsia"/>
                      <w:color w:val="auto"/>
                      <w:szCs w:val="21"/>
                    </w:rPr>
                    <w:t>铁</w:t>
                  </w:r>
                </w:p>
              </w:tc>
              <w:tc>
                <w:tcPr>
                  <w:tcW w:w="2794" w:type="dxa"/>
                  <w:vMerge w:val="restart"/>
                  <w:tcBorders>
                    <w:top w:val="single" w:color="auto" w:sz="4" w:space="0"/>
                    <w:left w:val="single" w:color="auto" w:sz="4" w:space="0"/>
                    <w:right w:val="single" w:color="auto" w:sz="4" w:space="0"/>
                  </w:tcBorders>
                  <w:vAlign w:val="center"/>
                </w:tcPr>
                <w:p>
                  <w:pPr>
                    <w:snapToGrid w:val="0"/>
                    <w:spacing w:line="300" w:lineRule="exact"/>
                    <w:jc w:val="center"/>
                    <w:rPr>
                      <w:color w:val="auto"/>
                      <w:szCs w:val="21"/>
                    </w:rPr>
                  </w:pPr>
                  <w:r>
                    <w:rPr>
                      <w:color w:val="auto"/>
                      <w:szCs w:val="21"/>
                    </w:rPr>
                    <w:t>水质</w:t>
                  </w:r>
                  <w:r>
                    <w:rPr>
                      <w:rFonts w:hint="eastAsia"/>
                      <w:color w:val="auto"/>
                      <w:szCs w:val="21"/>
                    </w:rPr>
                    <w:t>铁</w:t>
                  </w:r>
                  <w:r>
                    <w:rPr>
                      <w:color w:val="auto"/>
                      <w:szCs w:val="21"/>
                    </w:rPr>
                    <w:t>、</w:t>
                  </w:r>
                  <w:r>
                    <w:rPr>
                      <w:rFonts w:hint="eastAsia"/>
                      <w:color w:val="auto"/>
                      <w:szCs w:val="21"/>
                    </w:rPr>
                    <w:t>锰</w:t>
                  </w:r>
                  <w:r>
                    <w:rPr>
                      <w:color w:val="auto"/>
                      <w:szCs w:val="21"/>
                    </w:rPr>
                    <w:t>的测定</w:t>
                  </w:r>
                </w:p>
                <w:p>
                  <w:pPr>
                    <w:snapToGrid w:val="0"/>
                    <w:spacing w:line="300" w:lineRule="exact"/>
                    <w:jc w:val="center"/>
                    <w:rPr>
                      <w:color w:val="auto"/>
                      <w:szCs w:val="21"/>
                    </w:rPr>
                  </w:pPr>
                  <w:r>
                    <w:rPr>
                      <w:rFonts w:hint="eastAsia"/>
                      <w:color w:val="auto"/>
                      <w:szCs w:val="21"/>
                    </w:rPr>
                    <w:t>火焰原子吸收分光光度法GB/T11911-1989</w:t>
                  </w:r>
                </w:p>
              </w:tc>
              <w:tc>
                <w:tcPr>
                  <w:tcW w:w="2165" w:type="dxa"/>
                  <w:vMerge w:val="restart"/>
                  <w:tcBorders>
                    <w:top w:val="single" w:color="auto" w:sz="4" w:space="0"/>
                    <w:left w:val="single" w:color="auto" w:sz="4" w:space="0"/>
                    <w:right w:val="single" w:color="auto" w:sz="4" w:space="0"/>
                  </w:tcBorders>
                  <w:vAlign w:val="center"/>
                </w:tcPr>
                <w:p>
                  <w:pPr>
                    <w:snapToGrid w:val="0"/>
                    <w:spacing w:line="300" w:lineRule="exact"/>
                    <w:jc w:val="center"/>
                    <w:rPr>
                      <w:color w:val="auto"/>
                      <w:szCs w:val="21"/>
                    </w:rPr>
                  </w:pPr>
                  <w:r>
                    <w:rPr>
                      <w:rFonts w:hint="eastAsia"/>
                      <w:color w:val="auto"/>
                      <w:szCs w:val="21"/>
                    </w:rPr>
                    <w:t>AA-7050</w:t>
                  </w:r>
                </w:p>
                <w:p>
                  <w:pPr>
                    <w:snapToGrid w:val="0"/>
                    <w:spacing w:line="300" w:lineRule="exact"/>
                    <w:jc w:val="center"/>
                    <w:rPr>
                      <w:color w:val="auto"/>
                      <w:szCs w:val="21"/>
                    </w:rPr>
                  </w:pPr>
                  <w:r>
                    <w:rPr>
                      <w:rFonts w:hint="eastAsia"/>
                      <w:color w:val="auto"/>
                      <w:szCs w:val="21"/>
                    </w:rPr>
                    <w:t>原子吸收分光光度YLBQ-YQ-48</w:t>
                  </w:r>
                </w:p>
              </w:tc>
              <w:tc>
                <w:tcPr>
                  <w:tcW w:w="1354"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color w:val="auto"/>
                      <w:szCs w:val="21"/>
                    </w:rPr>
                  </w:pPr>
                  <w:r>
                    <w:rPr>
                      <w:rFonts w:hint="eastAsia"/>
                      <w:color w:val="auto"/>
                      <w:szCs w:val="21"/>
                    </w:rPr>
                    <w:t>0.03</w:t>
                  </w:r>
                  <w:r>
                    <w:rPr>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color w:val="auto"/>
                      <w:szCs w:val="21"/>
                    </w:rPr>
                    <w:t>8</w:t>
                  </w:r>
                </w:p>
              </w:tc>
              <w:tc>
                <w:tcPr>
                  <w:tcW w:w="999"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snapToGrid w:val="0"/>
                      <w:color w:val="auto"/>
                      <w:spacing w:val="-4"/>
                      <w:kern w:val="0"/>
                      <w:szCs w:val="21"/>
                    </w:rPr>
                  </w:pPr>
                  <w:r>
                    <w:rPr>
                      <w:rFonts w:hint="eastAsia"/>
                      <w:color w:val="auto"/>
                      <w:szCs w:val="21"/>
                    </w:rPr>
                    <w:t>锰</w:t>
                  </w:r>
                </w:p>
              </w:tc>
              <w:tc>
                <w:tcPr>
                  <w:tcW w:w="2794"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2165"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354"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color w:val="auto"/>
                      <w:szCs w:val="21"/>
                    </w:rPr>
                  </w:pPr>
                  <w:r>
                    <w:rPr>
                      <w:rFonts w:hint="eastAsia"/>
                      <w:color w:val="auto"/>
                      <w:szCs w:val="21"/>
                    </w:rPr>
                    <w:t>0.01</w:t>
                  </w:r>
                  <w:r>
                    <w:rPr>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color w:val="auto"/>
                      <w:szCs w:val="21"/>
                    </w:rPr>
                    <w:t>9</w:t>
                  </w:r>
                </w:p>
              </w:tc>
              <w:tc>
                <w:tcPr>
                  <w:tcW w:w="999"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color w:val="auto"/>
                      <w:szCs w:val="21"/>
                    </w:rPr>
                  </w:pPr>
                  <w:r>
                    <w:rPr>
                      <w:color w:val="auto"/>
                      <w:szCs w:val="21"/>
                    </w:rPr>
                    <w:t>铅</w:t>
                  </w:r>
                </w:p>
              </w:tc>
              <w:tc>
                <w:tcPr>
                  <w:tcW w:w="2794" w:type="dxa"/>
                  <w:vMerge w:val="restart"/>
                  <w:tcBorders>
                    <w:top w:val="single" w:color="auto" w:sz="4" w:space="0"/>
                    <w:left w:val="single" w:color="auto" w:sz="4" w:space="0"/>
                    <w:right w:val="single" w:color="auto" w:sz="4" w:space="0"/>
                  </w:tcBorders>
                  <w:vAlign w:val="center"/>
                </w:tcPr>
                <w:p>
                  <w:pPr>
                    <w:snapToGrid w:val="0"/>
                    <w:spacing w:line="300" w:lineRule="exact"/>
                    <w:jc w:val="center"/>
                    <w:rPr>
                      <w:color w:val="auto"/>
                      <w:szCs w:val="21"/>
                    </w:rPr>
                  </w:pPr>
                  <w:r>
                    <w:rPr>
                      <w:color w:val="auto"/>
                      <w:szCs w:val="21"/>
                    </w:rPr>
                    <w:t>水质铜、铅、镉</w:t>
                  </w:r>
                  <w:r>
                    <w:rPr>
                      <w:rFonts w:hint="eastAsia"/>
                      <w:color w:val="auto"/>
                      <w:szCs w:val="21"/>
                    </w:rPr>
                    <w:t>、</w:t>
                  </w:r>
                  <w:r>
                    <w:rPr>
                      <w:color w:val="auto"/>
                      <w:szCs w:val="21"/>
                    </w:rPr>
                    <w:t>锌的测定原子吸收分光光度</w:t>
                  </w:r>
                  <w:r>
                    <w:rPr>
                      <w:rFonts w:hint="eastAsia"/>
                      <w:color w:val="auto"/>
                      <w:szCs w:val="21"/>
                    </w:rPr>
                    <w:t>法</w:t>
                  </w:r>
                  <w:r>
                    <w:rPr>
                      <w:color w:val="auto"/>
                      <w:szCs w:val="21"/>
                    </w:rPr>
                    <w:t>GB/T7475-1987</w:t>
                  </w:r>
                </w:p>
              </w:tc>
              <w:tc>
                <w:tcPr>
                  <w:tcW w:w="2165" w:type="dxa"/>
                  <w:vMerge w:val="restart"/>
                  <w:tcBorders>
                    <w:top w:val="single" w:color="auto" w:sz="4" w:space="0"/>
                    <w:left w:val="single" w:color="auto" w:sz="4" w:space="0"/>
                    <w:right w:val="single" w:color="auto" w:sz="4" w:space="0"/>
                  </w:tcBorders>
                  <w:vAlign w:val="center"/>
                </w:tcPr>
                <w:p>
                  <w:pPr>
                    <w:snapToGrid w:val="0"/>
                    <w:spacing w:line="300" w:lineRule="exact"/>
                    <w:jc w:val="center"/>
                    <w:rPr>
                      <w:color w:val="auto"/>
                      <w:szCs w:val="21"/>
                    </w:rPr>
                  </w:pPr>
                  <w:r>
                    <w:rPr>
                      <w:rFonts w:hint="eastAsia"/>
                      <w:color w:val="auto"/>
                      <w:szCs w:val="21"/>
                    </w:rPr>
                    <w:t>AA-7050</w:t>
                  </w:r>
                </w:p>
                <w:p>
                  <w:pPr>
                    <w:snapToGrid w:val="0"/>
                    <w:spacing w:line="300" w:lineRule="exact"/>
                    <w:jc w:val="center"/>
                    <w:rPr>
                      <w:color w:val="auto"/>
                      <w:szCs w:val="21"/>
                    </w:rPr>
                  </w:pPr>
                  <w:r>
                    <w:rPr>
                      <w:rFonts w:hint="eastAsia"/>
                      <w:color w:val="auto"/>
                      <w:szCs w:val="21"/>
                    </w:rPr>
                    <w:t>原子吸收分光光度计YLBQ-YQ-48</w:t>
                  </w:r>
                </w:p>
              </w:tc>
              <w:tc>
                <w:tcPr>
                  <w:tcW w:w="1354"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color w:val="auto"/>
                      <w:szCs w:val="21"/>
                    </w:rPr>
                  </w:pPr>
                  <w:r>
                    <w:rPr>
                      <w:color w:val="auto"/>
                      <w:szCs w:val="21"/>
                    </w:rPr>
                    <w:t>0.001mg/L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color w:val="auto"/>
                      <w:szCs w:val="21"/>
                    </w:rPr>
                    <w:t>10</w:t>
                  </w:r>
                </w:p>
              </w:tc>
              <w:tc>
                <w:tcPr>
                  <w:tcW w:w="999"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color w:val="auto"/>
                      <w:szCs w:val="21"/>
                    </w:rPr>
                  </w:pPr>
                  <w:r>
                    <w:rPr>
                      <w:color w:val="auto"/>
                      <w:szCs w:val="21"/>
                    </w:rPr>
                    <w:t>镉</w:t>
                  </w:r>
                </w:p>
              </w:tc>
              <w:tc>
                <w:tcPr>
                  <w:tcW w:w="2794"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2165"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354"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color w:val="auto"/>
                      <w:szCs w:val="21"/>
                    </w:rPr>
                  </w:pPr>
                  <w:r>
                    <w:rPr>
                      <w:color w:val="auto"/>
                      <w:szCs w:val="21"/>
                    </w:rPr>
                    <w:t>0.0001</w:t>
                  </w:r>
                </w:p>
                <w:p>
                  <w:pPr>
                    <w:snapToGrid w:val="0"/>
                    <w:spacing w:line="300" w:lineRule="exact"/>
                    <w:jc w:val="center"/>
                    <w:rPr>
                      <w:color w:val="auto"/>
                      <w:szCs w:val="21"/>
                    </w:rPr>
                  </w:pPr>
                  <w:r>
                    <w:rPr>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color w:val="auto"/>
                      <w:szCs w:val="21"/>
                    </w:rPr>
                    <w:t>11</w:t>
                  </w:r>
                </w:p>
              </w:tc>
              <w:tc>
                <w:tcPr>
                  <w:tcW w:w="99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color w:val="auto"/>
                      <w:szCs w:val="21"/>
                    </w:rPr>
                    <w:t>硫酸盐</w:t>
                  </w:r>
                </w:p>
              </w:tc>
              <w:tc>
                <w:tcPr>
                  <w:tcW w:w="27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color w:val="auto"/>
                      <w:szCs w:val="21"/>
                    </w:rPr>
                    <w:t>水质硫酸盐的测定铬酸钡分光光度法</w:t>
                  </w:r>
                </w:p>
                <w:p>
                  <w:pPr>
                    <w:spacing w:line="300" w:lineRule="exact"/>
                    <w:jc w:val="center"/>
                    <w:rPr>
                      <w:color w:val="auto"/>
                      <w:szCs w:val="21"/>
                    </w:rPr>
                  </w:pPr>
                  <w:r>
                    <w:rPr>
                      <w:color w:val="auto"/>
                      <w:szCs w:val="21"/>
                    </w:rPr>
                    <w:t>HJ/T342-2007</w:t>
                  </w:r>
                </w:p>
              </w:tc>
              <w:tc>
                <w:tcPr>
                  <w:tcW w:w="216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color w:val="auto"/>
                      <w:szCs w:val="21"/>
                    </w:rPr>
                    <w:t>SP-722</w:t>
                  </w:r>
                  <w:r>
                    <w:rPr>
                      <w:rFonts w:hint="eastAsia"/>
                      <w:color w:val="auto"/>
                      <w:szCs w:val="21"/>
                    </w:rPr>
                    <w:t>可见分光光度计</w:t>
                  </w:r>
                  <w:r>
                    <w:rPr>
                      <w:color w:val="auto"/>
                      <w:szCs w:val="21"/>
                    </w:rPr>
                    <w:t>YLBQ-YQ-12</w:t>
                  </w:r>
                </w:p>
              </w:tc>
              <w:tc>
                <w:tcPr>
                  <w:tcW w:w="13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color w:val="auto"/>
                      <w:szCs w:val="21"/>
                    </w:rPr>
                  </w:pPr>
                  <w:r>
                    <w:rPr>
                      <w:color w:val="auto"/>
                      <w:szCs w:val="21"/>
                    </w:rPr>
                    <w:t>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color w:val="auto"/>
                      <w:szCs w:val="21"/>
                    </w:rPr>
                    <w:t>12</w:t>
                  </w:r>
                </w:p>
              </w:tc>
              <w:tc>
                <w:tcPr>
                  <w:tcW w:w="999"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rFonts w:hint="eastAsia"/>
                      <w:color w:val="auto"/>
                      <w:szCs w:val="21"/>
                    </w:rPr>
                    <w:t>钾</w:t>
                  </w:r>
                </w:p>
              </w:tc>
              <w:tc>
                <w:tcPr>
                  <w:tcW w:w="2794" w:type="dxa"/>
                  <w:vMerge w:val="restart"/>
                  <w:tcBorders>
                    <w:top w:val="single" w:color="auto" w:sz="4" w:space="0"/>
                    <w:left w:val="single" w:color="auto" w:sz="4" w:space="0"/>
                    <w:right w:val="single" w:color="auto" w:sz="4" w:space="0"/>
                  </w:tcBorders>
                  <w:vAlign w:val="center"/>
                </w:tcPr>
                <w:p>
                  <w:pPr>
                    <w:snapToGrid w:val="0"/>
                    <w:spacing w:line="280" w:lineRule="exact"/>
                    <w:jc w:val="center"/>
                    <w:rPr>
                      <w:color w:val="auto"/>
                      <w:szCs w:val="21"/>
                    </w:rPr>
                  </w:pPr>
                  <w:r>
                    <w:rPr>
                      <w:rFonts w:hint="eastAsia"/>
                      <w:color w:val="auto"/>
                      <w:szCs w:val="21"/>
                    </w:rPr>
                    <w:t>水质钾和钠的测定</w:t>
                  </w:r>
                </w:p>
                <w:p>
                  <w:pPr>
                    <w:snapToGrid w:val="0"/>
                    <w:spacing w:line="280" w:lineRule="exact"/>
                    <w:jc w:val="center"/>
                    <w:rPr>
                      <w:color w:val="auto"/>
                      <w:szCs w:val="21"/>
                    </w:rPr>
                  </w:pPr>
                  <w:r>
                    <w:rPr>
                      <w:rFonts w:hint="eastAsia"/>
                      <w:color w:val="auto"/>
                      <w:szCs w:val="21"/>
                    </w:rPr>
                    <w:t>火焰原子吸收分光光度法</w:t>
                  </w:r>
                </w:p>
                <w:p>
                  <w:pPr>
                    <w:snapToGrid w:val="0"/>
                    <w:spacing w:line="280" w:lineRule="exact"/>
                    <w:jc w:val="center"/>
                    <w:rPr>
                      <w:color w:val="auto"/>
                      <w:szCs w:val="21"/>
                    </w:rPr>
                  </w:pPr>
                  <w:r>
                    <w:rPr>
                      <w:color w:val="auto"/>
                      <w:szCs w:val="21"/>
                    </w:rPr>
                    <w:t>GB/T11904-1989</w:t>
                  </w:r>
                </w:p>
              </w:tc>
              <w:tc>
                <w:tcPr>
                  <w:tcW w:w="2165" w:type="dxa"/>
                  <w:vMerge w:val="restart"/>
                  <w:tcBorders>
                    <w:top w:val="single" w:color="auto" w:sz="4" w:space="0"/>
                    <w:left w:val="single" w:color="auto" w:sz="4" w:space="0"/>
                    <w:right w:val="single" w:color="auto" w:sz="4" w:space="0"/>
                  </w:tcBorders>
                  <w:vAlign w:val="center"/>
                </w:tcPr>
                <w:p>
                  <w:pPr>
                    <w:snapToGrid w:val="0"/>
                    <w:spacing w:line="280" w:lineRule="exact"/>
                    <w:jc w:val="center"/>
                    <w:rPr>
                      <w:color w:val="auto"/>
                      <w:spacing w:val="-16"/>
                      <w:szCs w:val="21"/>
                    </w:rPr>
                  </w:pPr>
                  <w:r>
                    <w:rPr>
                      <w:color w:val="auto"/>
                      <w:spacing w:val="-16"/>
                      <w:szCs w:val="21"/>
                    </w:rPr>
                    <w:t>AA-7050</w:t>
                  </w:r>
                </w:p>
                <w:p>
                  <w:pPr>
                    <w:snapToGrid w:val="0"/>
                    <w:spacing w:line="280" w:lineRule="exact"/>
                    <w:jc w:val="center"/>
                    <w:rPr>
                      <w:color w:val="auto"/>
                      <w:spacing w:val="-16"/>
                      <w:szCs w:val="21"/>
                    </w:rPr>
                  </w:pPr>
                  <w:r>
                    <w:rPr>
                      <w:rFonts w:hint="eastAsia"/>
                      <w:color w:val="auto"/>
                      <w:spacing w:val="-16"/>
                      <w:szCs w:val="21"/>
                    </w:rPr>
                    <w:t>原子吸收分光光度计</w:t>
                  </w:r>
                </w:p>
                <w:p>
                  <w:pPr>
                    <w:snapToGrid w:val="0"/>
                    <w:spacing w:line="280" w:lineRule="exact"/>
                    <w:jc w:val="center"/>
                    <w:rPr>
                      <w:color w:val="auto"/>
                      <w:szCs w:val="21"/>
                    </w:rPr>
                  </w:pPr>
                  <w:r>
                    <w:rPr>
                      <w:color w:val="auto"/>
                      <w:spacing w:val="-16"/>
                      <w:szCs w:val="21"/>
                    </w:rPr>
                    <w:t>YLBQ-YQ-48</w:t>
                  </w:r>
                </w:p>
              </w:tc>
              <w:tc>
                <w:tcPr>
                  <w:tcW w:w="1354"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color w:val="auto"/>
                      <w:szCs w:val="21"/>
                    </w:rPr>
                    <w:t>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color w:val="auto"/>
                      <w:szCs w:val="21"/>
                    </w:rPr>
                    <w:t>13</w:t>
                  </w:r>
                </w:p>
              </w:tc>
              <w:tc>
                <w:tcPr>
                  <w:tcW w:w="999"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snapToGrid w:val="0"/>
                      <w:color w:val="auto"/>
                      <w:spacing w:val="-4"/>
                      <w:kern w:val="0"/>
                      <w:szCs w:val="21"/>
                    </w:rPr>
                  </w:pPr>
                  <w:r>
                    <w:rPr>
                      <w:rFonts w:hint="eastAsia"/>
                      <w:color w:val="auto"/>
                      <w:szCs w:val="21"/>
                    </w:rPr>
                    <w:t>钠</w:t>
                  </w:r>
                </w:p>
              </w:tc>
              <w:tc>
                <w:tcPr>
                  <w:tcW w:w="2794"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2165"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354"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color w:val="auto"/>
                      <w:szCs w:val="21"/>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rFonts w:hint="eastAsia"/>
                      <w:color w:val="auto"/>
                      <w:szCs w:val="21"/>
                    </w:rPr>
                    <w:t>14</w:t>
                  </w:r>
                </w:p>
              </w:tc>
              <w:tc>
                <w:tcPr>
                  <w:tcW w:w="999"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rFonts w:hint="eastAsia"/>
                      <w:color w:val="auto"/>
                      <w:szCs w:val="21"/>
                    </w:rPr>
                    <w:t>钙</w:t>
                  </w:r>
                </w:p>
              </w:tc>
              <w:tc>
                <w:tcPr>
                  <w:tcW w:w="2794" w:type="dxa"/>
                  <w:vMerge w:val="restart"/>
                  <w:tcBorders>
                    <w:top w:val="single" w:color="auto" w:sz="4" w:space="0"/>
                    <w:left w:val="single" w:color="auto" w:sz="4" w:space="0"/>
                    <w:right w:val="single" w:color="auto" w:sz="4" w:space="0"/>
                  </w:tcBorders>
                  <w:vAlign w:val="center"/>
                </w:tcPr>
                <w:p>
                  <w:pPr>
                    <w:snapToGrid w:val="0"/>
                    <w:spacing w:line="280" w:lineRule="exact"/>
                    <w:jc w:val="center"/>
                    <w:rPr>
                      <w:color w:val="auto"/>
                      <w:szCs w:val="21"/>
                    </w:rPr>
                  </w:pPr>
                  <w:r>
                    <w:rPr>
                      <w:rFonts w:hint="eastAsia"/>
                      <w:color w:val="auto"/>
                      <w:szCs w:val="21"/>
                    </w:rPr>
                    <w:t>水质钙和镁的测定</w:t>
                  </w:r>
                </w:p>
                <w:p>
                  <w:pPr>
                    <w:snapToGrid w:val="0"/>
                    <w:spacing w:line="280" w:lineRule="exact"/>
                    <w:jc w:val="center"/>
                    <w:rPr>
                      <w:color w:val="auto"/>
                      <w:szCs w:val="21"/>
                    </w:rPr>
                  </w:pPr>
                  <w:r>
                    <w:rPr>
                      <w:rFonts w:hint="eastAsia"/>
                      <w:color w:val="auto"/>
                      <w:szCs w:val="21"/>
                    </w:rPr>
                    <w:t>火焰原子吸收分光光度法</w:t>
                  </w:r>
                </w:p>
                <w:p>
                  <w:pPr>
                    <w:snapToGrid w:val="0"/>
                    <w:spacing w:line="280" w:lineRule="exact"/>
                    <w:jc w:val="center"/>
                    <w:rPr>
                      <w:color w:val="auto"/>
                      <w:szCs w:val="21"/>
                    </w:rPr>
                  </w:pPr>
                  <w:r>
                    <w:rPr>
                      <w:color w:val="auto"/>
                      <w:szCs w:val="21"/>
                    </w:rPr>
                    <w:t>GB/T11905-1989</w:t>
                  </w:r>
                </w:p>
              </w:tc>
              <w:tc>
                <w:tcPr>
                  <w:tcW w:w="2165" w:type="dxa"/>
                  <w:vMerge w:val="restart"/>
                  <w:tcBorders>
                    <w:top w:val="single" w:color="auto" w:sz="4" w:space="0"/>
                    <w:left w:val="single" w:color="auto" w:sz="4" w:space="0"/>
                    <w:right w:val="single" w:color="auto" w:sz="4" w:space="0"/>
                  </w:tcBorders>
                  <w:vAlign w:val="center"/>
                </w:tcPr>
                <w:p>
                  <w:pPr>
                    <w:snapToGrid w:val="0"/>
                    <w:spacing w:line="280" w:lineRule="exact"/>
                    <w:jc w:val="center"/>
                    <w:rPr>
                      <w:color w:val="auto"/>
                      <w:spacing w:val="-16"/>
                      <w:szCs w:val="21"/>
                    </w:rPr>
                  </w:pPr>
                  <w:r>
                    <w:rPr>
                      <w:color w:val="auto"/>
                      <w:spacing w:val="-16"/>
                      <w:szCs w:val="21"/>
                    </w:rPr>
                    <w:t>AA-7050</w:t>
                  </w:r>
                </w:p>
                <w:p>
                  <w:pPr>
                    <w:snapToGrid w:val="0"/>
                    <w:spacing w:line="280" w:lineRule="exact"/>
                    <w:jc w:val="center"/>
                    <w:rPr>
                      <w:color w:val="auto"/>
                      <w:spacing w:val="-16"/>
                      <w:szCs w:val="21"/>
                    </w:rPr>
                  </w:pPr>
                  <w:r>
                    <w:rPr>
                      <w:rFonts w:hint="eastAsia"/>
                      <w:color w:val="auto"/>
                      <w:spacing w:val="-16"/>
                      <w:szCs w:val="21"/>
                    </w:rPr>
                    <w:t>原子吸收分光光度计</w:t>
                  </w:r>
                </w:p>
                <w:p>
                  <w:pPr>
                    <w:snapToGrid w:val="0"/>
                    <w:spacing w:line="280" w:lineRule="exact"/>
                    <w:jc w:val="center"/>
                    <w:rPr>
                      <w:color w:val="auto"/>
                      <w:szCs w:val="21"/>
                    </w:rPr>
                  </w:pPr>
                  <w:r>
                    <w:rPr>
                      <w:color w:val="auto"/>
                      <w:spacing w:val="-16"/>
                      <w:szCs w:val="21"/>
                    </w:rPr>
                    <w:t>YLBQ-YQ-48</w:t>
                  </w:r>
                </w:p>
              </w:tc>
              <w:tc>
                <w:tcPr>
                  <w:tcW w:w="1354"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color w:val="auto"/>
                      <w:szCs w:val="21"/>
                    </w:rPr>
                    <w:t>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rFonts w:hint="eastAsia"/>
                      <w:color w:val="auto"/>
                      <w:szCs w:val="21"/>
                    </w:rPr>
                    <w:t>15</w:t>
                  </w:r>
                </w:p>
              </w:tc>
              <w:tc>
                <w:tcPr>
                  <w:tcW w:w="999"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rFonts w:hint="eastAsia"/>
                      <w:color w:val="auto"/>
                      <w:szCs w:val="21"/>
                    </w:rPr>
                    <w:t>镁</w:t>
                  </w:r>
                </w:p>
              </w:tc>
              <w:tc>
                <w:tcPr>
                  <w:tcW w:w="2794"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2165"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354"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color w:val="auto"/>
                      <w:szCs w:val="21"/>
                    </w:rPr>
                    <w:t>0.002mg/L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rFonts w:hint="eastAsia"/>
                      <w:color w:val="auto"/>
                      <w:szCs w:val="21"/>
                    </w:rPr>
                    <w:t>16</w:t>
                  </w:r>
                </w:p>
              </w:tc>
              <w:tc>
                <w:tcPr>
                  <w:tcW w:w="999"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color w:val="auto"/>
                      <w:szCs w:val="21"/>
                    </w:rPr>
                    <w:t>汞</w:t>
                  </w:r>
                </w:p>
              </w:tc>
              <w:tc>
                <w:tcPr>
                  <w:tcW w:w="2794" w:type="dxa"/>
                  <w:vMerge w:val="restart"/>
                  <w:tcBorders>
                    <w:top w:val="single" w:color="auto" w:sz="4" w:space="0"/>
                    <w:left w:val="single" w:color="auto" w:sz="4" w:space="0"/>
                    <w:right w:val="single" w:color="auto" w:sz="4" w:space="0"/>
                  </w:tcBorders>
                  <w:vAlign w:val="center"/>
                </w:tcPr>
                <w:p>
                  <w:pPr>
                    <w:snapToGrid w:val="0"/>
                    <w:spacing w:line="280" w:lineRule="exact"/>
                    <w:jc w:val="center"/>
                    <w:rPr>
                      <w:color w:val="auto"/>
                      <w:szCs w:val="21"/>
                    </w:rPr>
                  </w:pPr>
                  <w:r>
                    <w:rPr>
                      <w:color w:val="auto"/>
                      <w:szCs w:val="21"/>
                    </w:rPr>
                    <w:t>水质汞、砷、硒、铋和锑的测定原子荧光法</w:t>
                  </w:r>
                </w:p>
                <w:p>
                  <w:pPr>
                    <w:snapToGrid w:val="0"/>
                    <w:spacing w:line="280" w:lineRule="exact"/>
                    <w:jc w:val="center"/>
                    <w:rPr>
                      <w:color w:val="auto"/>
                      <w:szCs w:val="21"/>
                    </w:rPr>
                  </w:pPr>
                  <w:r>
                    <w:rPr>
                      <w:color w:val="auto"/>
                      <w:szCs w:val="21"/>
                    </w:rPr>
                    <w:t>HJ694-2014</w:t>
                  </w:r>
                </w:p>
              </w:tc>
              <w:tc>
                <w:tcPr>
                  <w:tcW w:w="2165" w:type="dxa"/>
                  <w:vMerge w:val="restart"/>
                  <w:tcBorders>
                    <w:top w:val="single" w:color="auto" w:sz="4" w:space="0"/>
                    <w:left w:val="single" w:color="auto" w:sz="4" w:space="0"/>
                    <w:right w:val="single" w:color="auto" w:sz="4" w:space="0"/>
                  </w:tcBorders>
                  <w:vAlign w:val="center"/>
                </w:tcPr>
                <w:p>
                  <w:pPr>
                    <w:snapToGrid w:val="0"/>
                    <w:spacing w:line="280" w:lineRule="exact"/>
                    <w:jc w:val="center"/>
                    <w:rPr>
                      <w:color w:val="auto"/>
                      <w:szCs w:val="21"/>
                    </w:rPr>
                  </w:pPr>
                  <w:r>
                    <w:rPr>
                      <w:color w:val="auto"/>
                      <w:szCs w:val="21"/>
                    </w:rPr>
                    <w:t>AF-7500</w:t>
                  </w:r>
                  <w:r>
                    <w:rPr>
                      <w:rFonts w:hint="eastAsia"/>
                      <w:color w:val="auto"/>
                      <w:szCs w:val="21"/>
                    </w:rPr>
                    <w:t>双道氢化物-</w:t>
                  </w:r>
                  <w:r>
                    <w:rPr>
                      <w:color w:val="auto"/>
                      <w:szCs w:val="21"/>
                    </w:rPr>
                    <w:t>原子荧光光度计YLBQ-YQ-47</w:t>
                  </w:r>
                </w:p>
              </w:tc>
              <w:tc>
                <w:tcPr>
                  <w:tcW w:w="1354"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color w:val="auto"/>
                      <w:szCs w:val="21"/>
                    </w:rPr>
                    <w:t>0.04μg/L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rFonts w:hint="eastAsia"/>
                      <w:color w:val="auto"/>
                      <w:szCs w:val="21"/>
                    </w:rPr>
                    <w:t>17</w:t>
                  </w:r>
                </w:p>
              </w:tc>
              <w:tc>
                <w:tcPr>
                  <w:tcW w:w="999"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color w:val="auto"/>
                      <w:szCs w:val="21"/>
                    </w:rPr>
                    <w:t>砷</w:t>
                  </w:r>
                </w:p>
              </w:tc>
              <w:tc>
                <w:tcPr>
                  <w:tcW w:w="2794"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2165"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354"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rFonts w:hint="eastAsia"/>
                      <w:color w:val="auto"/>
                      <w:szCs w:val="21"/>
                    </w:rPr>
                    <w:t>0.3</w:t>
                  </w:r>
                  <w:r>
                    <w:rPr>
                      <w:color w:val="auto"/>
                      <w:szCs w:val="21"/>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rFonts w:hint="eastAsia"/>
                      <w:color w:val="auto"/>
                      <w:szCs w:val="21"/>
                    </w:rPr>
                    <w:t>18</w:t>
                  </w:r>
                </w:p>
              </w:tc>
              <w:tc>
                <w:tcPr>
                  <w:tcW w:w="999"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color w:val="auto"/>
                      <w:szCs w:val="21"/>
                    </w:rPr>
                    <w:t>总硬度</w:t>
                  </w:r>
                </w:p>
              </w:tc>
              <w:tc>
                <w:tcPr>
                  <w:tcW w:w="2794"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color w:val="auto"/>
                      <w:szCs w:val="21"/>
                    </w:rPr>
                    <w:t>水质钙和镁总量的测定EDTA滴定法GB/T7477-87</w:t>
                  </w:r>
                </w:p>
              </w:tc>
              <w:tc>
                <w:tcPr>
                  <w:tcW w:w="2165"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rFonts w:hint="eastAsia"/>
                      <w:color w:val="auto"/>
                      <w:szCs w:val="21"/>
                    </w:rPr>
                    <w:t>50</w:t>
                  </w:r>
                  <w:r>
                    <w:rPr>
                      <w:color w:val="auto"/>
                      <w:szCs w:val="21"/>
                    </w:rPr>
                    <w:t>ml酸式滴定管</w:t>
                  </w:r>
                </w:p>
              </w:tc>
              <w:tc>
                <w:tcPr>
                  <w:tcW w:w="1354"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rFonts w:hint="eastAsia"/>
                      <w:color w:val="auto"/>
                      <w:szCs w:val="21"/>
                    </w:rPr>
                    <w:t>5</w:t>
                  </w:r>
                  <w:r>
                    <w:rPr>
                      <w:color w:val="auto"/>
                      <w:szCs w:val="21"/>
                    </w:rPr>
                    <w:t>CaCO</w:t>
                  </w:r>
                  <w:r>
                    <w:rPr>
                      <w:color w:val="auto"/>
                      <w:szCs w:val="21"/>
                      <w:vertAlign w:val="subscript"/>
                    </w:rPr>
                    <w:t>3</w:t>
                  </w:r>
                  <w:r>
                    <w:rPr>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rFonts w:hint="eastAsia"/>
                      <w:color w:val="auto"/>
                      <w:szCs w:val="21"/>
                    </w:rPr>
                    <w:t>19</w:t>
                  </w:r>
                </w:p>
              </w:tc>
              <w:tc>
                <w:tcPr>
                  <w:tcW w:w="999"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rFonts w:hint="eastAsia"/>
                      <w:color w:val="auto"/>
                      <w:szCs w:val="21"/>
                    </w:rPr>
                    <w:t>氰化物</w:t>
                  </w:r>
                </w:p>
              </w:tc>
              <w:tc>
                <w:tcPr>
                  <w:tcW w:w="2794"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rFonts w:hint="eastAsia"/>
                      <w:color w:val="auto"/>
                      <w:szCs w:val="21"/>
                    </w:rPr>
                    <w:t>水质氰化物的测定容量法和分光光度法</w:t>
                  </w:r>
                </w:p>
                <w:p>
                  <w:pPr>
                    <w:snapToGrid w:val="0"/>
                    <w:spacing w:line="280" w:lineRule="exact"/>
                    <w:jc w:val="center"/>
                    <w:rPr>
                      <w:color w:val="auto"/>
                      <w:szCs w:val="21"/>
                    </w:rPr>
                  </w:pPr>
                  <w:r>
                    <w:rPr>
                      <w:rFonts w:hint="eastAsia"/>
                      <w:color w:val="auto"/>
                      <w:szCs w:val="21"/>
                    </w:rPr>
                    <w:t>HJ484-2009</w:t>
                  </w:r>
                </w:p>
              </w:tc>
              <w:tc>
                <w:tcPr>
                  <w:tcW w:w="216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Cs w:val="21"/>
                    </w:rPr>
                  </w:pPr>
                  <w:r>
                    <w:rPr>
                      <w:rFonts w:hint="eastAsia"/>
                      <w:color w:val="auto"/>
                      <w:szCs w:val="21"/>
                    </w:rPr>
                    <w:t>SP756P紫外可见分光</w:t>
                  </w:r>
                </w:p>
                <w:p>
                  <w:pPr>
                    <w:spacing w:line="280" w:lineRule="exact"/>
                    <w:jc w:val="center"/>
                    <w:rPr>
                      <w:color w:val="auto"/>
                      <w:szCs w:val="21"/>
                    </w:rPr>
                  </w:pPr>
                  <w:r>
                    <w:rPr>
                      <w:rFonts w:hint="eastAsia"/>
                      <w:color w:val="auto"/>
                      <w:szCs w:val="21"/>
                    </w:rPr>
                    <w:t>光度计</w:t>
                  </w:r>
                  <w:r>
                    <w:rPr>
                      <w:color w:val="auto"/>
                      <w:szCs w:val="21"/>
                    </w:rPr>
                    <w:t>YLBQ-YQ-0</w:t>
                  </w:r>
                  <w:r>
                    <w:rPr>
                      <w:rFonts w:hint="eastAsia"/>
                      <w:color w:val="auto"/>
                      <w:szCs w:val="21"/>
                    </w:rPr>
                    <w:t>7</w:t>
                  </w:r>
                </w:p>
              </w:tc>
              <w:tc>
                <w:tcPr>
                  <w:tcW w:w="13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Cs w:val="21"/>
                    </w:rPr>
                  </w:pPr>
                  <w:r>
                    <w:rPr>
                      <w:color w:val="auto"/>
                      <w:szCs w:val="21"/>
                    </w:rPr>
                    <w:t>0.001</w:t>
                  </w:r>
                </w:p>
                <w:p>
                  <w:pPr>
                    <w:spacing w:line="280" w:lineRule="exact"/>
                    <w:jc w:val="center"/>
                    <w:rPr>
                      <w:color w:val="auto"/>
                      <w:szCs w:val="21"/>
                    </w:rPr>
                  </w:pPr>
                  <w:r>
                    <w:rPr>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rFonts w:hint="eastAsia"/>
                      <w:color w:val="auto"/>
                      <w:szCs w:val="21"/>
                    </w:rPr>
                    <w:t>20</w:t>
                  </w:r>
                </w:p>
              </w:tc>
              <w:tc>
                <w:tcPr>
                  <w:tcW w:w="99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Cs w:val="21"/>
                    </w:rPr>
                  </w:pPr>
                  <w:r>
                    <w:rPr>
                      <w:color w:val="auto"/>
                      <w:szCs w:val="21"/>
                    </w:rPr>
                    <w:t>氯化物</w:t>
                  </w:r>
                </w:p>
              </w:tc>
              <w:tc>
                <w:tcPr>
                  <w:tcW w:w="279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Cs w:val="21"/>
                    </w:rPr>
                  </w:pPr>
                  <w:r>
                    <w:rPr>
                      <w:color w:val="auto"/>
                      <w:szCs w:val="21"/>
                    </w:rPr>
                    <w:t>水质氯化物的测定硝酸银滴定法</w:t>
                  </w:r>
                </w:p>
                <w:p>
                  <w:pPr>
                    <w:spacing w:line="280" w:lineRule="exact"/>
                    <w:jc w:val="center"/>
                    <w:rPr>
                      <w:color w:val="auto"/>
                      <w:szCs w:val="21"/>
                    </w:rPr>
                  </w:pPr>
                  <w:r>
                    <w:rPr>
                      <w:color w:val="auto"/>
                      <w:szCs w:val="21"/>
                    </w:rPr>
                    <w:t>GB/T11896-1989</w:t>
                  </w:r>
                </w:p>
              </w:tc>
              <w:tc>
                <w:tcPr>
                  <w:tcW w:w="216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Cs w:val="21"/>
                    </w:rPr>
                  </w:pPr>
                  <w:r>
                    <w:rPr>
                      <w:color w:val="auto"/>
                      <w:szCs w:val="21"/>
                    </w:rPr>
                    <w:t>25ml酸式滴定管</w:t>
                  </w:r>
                </w:p>
              </w:tc>
              <w:tc>
                <w:tcPr>
                  <w:tcW w:w="13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Cs w:val="21"/>
                    </w:rPr>
                  </w:pPr>
                  <w:r>
                    <w:rPr>
                      <w:color w:val="auto"/>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rFonts w:hint="eastAsia"/>
                      <w:color w:val="auto"/>
                      <w:szCs w:val="21"/>
                    </w:rPr>
                    <w:t>21</w:t>
                  </w:r>
                </w:p>
              </w:tc>
              <w:tc>
                <w:tcPr>
                  <w:tcW w:w="99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Cs w:val="21"/>
                    </w:rPr>
                  </w:pPr>
                  <w:r>
                    <w:rPr>
                      <w:rFonts w:hint="eastAsia"/>
                      <w:color w:val="auto"/>
                      <w:szCs w:val="21"/>
                    </w:rPr>
                    <w:t>氟化物</w:t>
                  </w:r>
                </w:p>
              </w:tc>
              <w:tc>
                <w:tcPr>
                  <w:tcW w:w="279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Cs w:val="21"/>
                    </w:rPr>
                  </w:pPr>
                  <w:r>
                    <w:rPr>
                      <w:color w:val="auto"/>
                      <w:szCs w:val="21"/>
                    </w:rPr>
                    <w:t>水质氟化物的测定</w:t>
                  </w:r>
                </w:p>
                <w:p>
                  <w:pPr>
                    <w:spacing w:line="280" w:lineRule="exact"/>
                    <w:jc w:val="center"/>
                    <w:rPr>
                      <w:color w:val="auto"/>
                      <w:szCs w:val="21"/>
                    </w:rPr>
                  </w:pPr>
                  <w:r>
                    <w:rPr>
                      <w:color w:val="auto"/>
                      <w:szCs w:val="21"/>
                    </w:rPr>
                    <w:t>离子选择电极法</w:t>
                  </w:r>
                </w:p>
                <w:p>
                  <w:pPr>
                    <w:spacing w:line="280" w:lineRule="exact"/>
                    <w:jc w:val="center"/>
                    <w:rPr>
                      <w:color w:val="auto"/>
                      <w:szCs w:val="21"/>
                    </w:rPr>
                  </w:pPr>
                  <w:r>
                    <w:rPr>
                      <w:color w:val="auto"/>
                      <w:szCs w:val="21"/>
                    </w:rPr>
                    <w:t>GB/T7484-1987</w:t>
                  </w:r>
                </w:p>
              </w:tc>
              <w:tc>
                <w:tcPr>
                  <w:tcW w:w="216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zCs w:val="21"/>
                    </w:rPr>
                  </w:pPr>
                  <w:r>
                    <w:rPr>
                      <w:rFonts w:hint="eastAsia"/>
                      <w:bCs/>
                      <w:color w:val="auto"/>
                      <w:sz w:val="24"/>
                    </w:rPr>
                    <w:t>p</w:t>
                  </w:r>
                  <w:r>
                    <w:rPr>
                      <w:rFonts w:hint="eastAsia"/>
                      <w:color w:val="auto"/>
                      <w:szCs w:val="21"/>
                    </w:rPr>
                    <w:t>HS-3C</w:t>
                  </w:r>
                  <w:r>
                    <w:rPr>
                      <w:rFonts w:hint="eastAsia"/>
                      <w:bCs/>
                      <w:color w:val="auto"/>
                      <w:sz w:val="24"/>
                    </w:rPr>
                    <w:t>p</w:t>
                  </w:r>
                  <w:r>
                    <w:rPr>
                      <w:rFonts w:hint="eastAsia"/>
                      <w:color w:val="auto"/>
                      <w:szCs w:val="21"/>
                    </w:rPr>
                    <w:t>H计</w:t>
                  </w:r>
                </w:p>
                <w:p>
                  <w:pPr>
                    <w:spacing w:line="280" w:lineRule="exact"/>
                    <w:jc w:val="center"/>
                    <w:rPr>
                      <w:color w:val="auto"/>
                      <w:szCs w:val="21"/>
                    </w:rPr>
                  </w:pPr>
                  <w:r>
                    <w:rPr>
                      <w:rFonts w:hint="eastAsia"/>
                      <w:color w:val="auto"/>
                      <w:szCs w:val="21"/>
                    </w:rPr>
                    <w:t>YLBQ-YQ-05</w:t>
                  </w:r>
                </w:p>
              </w:tc>
              <w:tc>
                <w:tcPr>
                  <w:tcW w:w="13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spacing w:val="-10"/>
                      <w:szCs w:val="21"/>
                    </w:rPr>
                  </w:pPr>
                  <w:r>
                    <w:rPr>
                      <w:rFonts w:hint="eastAsia"/>
                      <w:color w:val="auto"/>
                      <w:szCs w:val="21"/>
                    </w:rPr>
                    <w:t>0.05</w:t>
                  </w:r>
                  <w:r>
                    <w:rPr>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rFonts w:hint="eastAsia"/>
                      <w:color w:val="auto"/>
                      <w:szCs w:val="21"/>
                    </w:rPr>
                    <w:t>22</w:t>
                  </w:r>
                </w:p>
              </w:tc>
              <w:tc>
                <w:tcPr>
                  <w:tcW w:w="999"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rFonts w:hint="eastAsia"/>
                      <w:color w:val="auto"/>
                      <w:szCs w:val="21"/>
                    </w:rPr>
                    <w:t>碱度</w:t>
                  </w:r>
                </w:p>
              </w:tc>
              <w:tc>
                <w:tcPr>
                  <w:tcW w:w="2794"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rFonts w:hint="eastAsia"/>
                      <w:color w:val="auto"/>
                      <w:szCs w:val="21"/>
                    </w:rPr>
                    <w:t>酸碱指示剂滴定法《水和废水监测分析方法》第四版增补版第三篇第一章十二（一）</w:t>
                  </w:r>
                </w:p>
              </w:tc>
              <w:tc>
                <w:tcPr>
                  <w:tcW w:w="2165"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color w:val="auto"/>
                      <w:szCs w:val="21"/>
                    </w:rPr>
                    <w:t>25ml</w:t>
                  </w:r>
                  <w:r>
                    <w:rPr>
                      <w:rFonts w:hint="eastAsia"/>
                      <w:color w:val="auto"/>
                      <w:szCs w:val="21"/>
                    </w:rPr>
                    <w:t>酸式滴定管</w:t>
                  </w:r>
                </w:p>
              </w:tc>
              <w:tc>
                <w:tcPr>
                  <w:tcW w:w="1354"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center"/>
                    <w:rPr>
                      <w:color w:val="auto"/>
                      <w:szCs w:val="21"/>
                    </w:rPr>
                  </w:pPr>
                  <w:r>
                    <w:rPr>
                      <w:color w:val="auto"/>
                      <w:spacing w:val="-16"/>
                      <w:szCs w:val="21"/>
                    </w:rPr>
                    <w:t>CaCO</w:t>
                  </w:r>
                  <w:r>
                    <w:rPr>
                      <w:color w:val="auto"/>
                      <w:spacing w:val="-16"/>
                      <w:szCs w:val="21"/>
                      <w:vertAlign w:val="subscript"/>
                    </w:rPr>
                    <w:t>3</w:t>
                  </w:r>
                  <w:r>
                    <w:rPr>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jc w:val="center"/>
                    <w:rPr>
                      <w:color w:val="auto"/>
                      <w:szCs w:val="21"/>
                    </w:rPr>
                  </w:pPr>
                  <w:r>
                    <w:rPr>
                      <w:rFonts w:hint="eastAsia"/>
                      <w:color w:val="auto"/>
                      <w:szCs w:val="21"/>
                    </w:rPr>
                    <w:t>23</w:t>
                  </w:r>
                </w:p>
              </w:tc>
              <w:tc>
                <w:tcPr>
                  <w:tcW w:w="99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textAlignment w:val="center"/>
                    <w:rPr>
                      <w:color w:val="auto"/>
                      <w:szCs w:val="21"/>
                    </w:rPr>
                  </w:pPr>
                  <w:r>
                    <w:rPr>
                      <w:color w:val="auto"/>
                      <w:kern w:val="0"/>
                      <w:szCs w:val="21"/>
                    </w:rPr>
                    <w:t>石油类</w:t>
                  </w:r>
                </w:p>
              </w:tc>
              <w:tc>
                <w:tcPr>
                  <w:tcW w:w="279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textAlignment w:val="center"/>
                    <w:rPr>
                      <w:color w:val="auto"/>
                      <w:kern w:val="0"/>
                      <w:szCs w:val="21"/>
                    </w:rPr>
                  </w:pPr>
                  <w:r>
                    <w:rPr>
                      <w:color w:val="auto"/>
                      <w:kern w:val="0"/>
                      <w:szCs w:val="21"/>
                    </w:rPr>
                    <w:t>水质石油类的测定</w:t>
                  </w:r>
                  <w:r>
                    <w:rPr>
                      <w:color w:val="auto"/>
                      <w:kern w:val="0"/>
                      <w:szCs w:val="21"/>
                    </w:rPr>
                    <w:br w:type="textWrapping"/>
                  </w:r>
                  <w:r>
                    <w:rPr>
                      <w:color w:val="auto"/>
                      <w:kern w:val="0"/>
                      <w:szCs w:val="21"/>
                    </w:rPr>
                    <w:t>紫外分光光度法（试行）</w:t>
                  </w:r>
                </w:p>
                <w:p>
                  <w:pPr>
                    <w:widowControl/>
                    <w:spacing w:line="280" w:lineRule="exact"/>
                    <w:jc w:val="center"/>
                    <w:textAlignment w:val="center"/>
                    <w:rPr>
                      <w:color w:val="auto"/>
                      <w:szCs w:val="21"/>
                    </w:rPr>
                  </w:pPr>
                  <w:r>
                    <w:rPr>
                      <w:color w:val="auto"/>
                      <w:kern w:val="0"/>
                      <w:szCs w:val="21"/>
                    </w:rPr>
                    <w:t>HJ970-2018</w:t>
                  </w:r>
                </w:p>
              </w:tc>
              <w:tc>
                <w:tcPr>
                  <w:tcW w:w="216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textAlignment w:val="center"/>
                    <w:rPr>
                      <w:color w:val="auto"/>
                      <w:szCs w:val="21"/>
                    </w:rPr>
                  </w:pPr>
                  <w:r>
                    <w:rPr>
                      <w:rFonts w:hint="eastAsia"/>
                      <w:color w:val="auto"/>
                      <w:kern w:val="0"/>
                      <w:szCs w:val="21"/>
                    </w:rPr>
                    <w:t>T6新世纪紫外可见分光光度计YCQ-010</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textAlignment w:val="center"/>
                    <w:rPr>
                      <w:color w:val="auto"/>
                      <w:spacing w:val="-16"/>
                      <w:szCs w:val="21"/>
                    </w:rPr>
                  </w:pPr>
                  <w:r>
                    <w:rPr>
                      <w:rFonts w:hint="eastAsia"/>
                      <w:color w:val="auto"/>
                      <w:kern w:val="0"/>
                      <w:szCs w:val="21"/>
                    </w:rPr>
                    <w:t>0.01mg/L</w:t>
                  </w:r>
                </w:p>
              </w:tc>
            </w:tr>
          </w:tbl>
          <w:p>
            <w:pPr>
              <w:spacing w:line="360" w:lineRule="auto"/>
              <w:ind w:firstLine="480" w:firstLineChars="200"/>
              <w:rPr>
                <w:color w:val="auto"/>
              </w:rPr>
            </w:pPr>
            <w:r>
              <w:rPr>
                <w:color w:val="auto"/>
                <w:sz w:val="24"/>
              </w:rPr>
              <w:fldChar w:fldCharType="begin"/>
            </w:r>
            <w:r>
              <w:rPr>
                <w:color w:val="auto"/>
                <w:sz w:val="24"/>
              </w:rPr>
              <w:instrText xml:space="preserve"> = 4 \* GB2 \* MERGEFORMAT </w:instrText>
            </w:r>
            <w:r>
              <w:rPr>
                <w:color w:val="auto"/>
                <w:sz w:val="24"/>
              </w:rPr>
              <w:fldChar w:fldCharType="separate"/>
            </w:r>
            <w:r>
              <w:rPr>
                <w:color w:val="auto"/>
                <w:sz w:val="24"/>
              </w:rPr>
              <w:t>⑷</w:t>
            </w:r>
            <w:r>
              <w:rPr>
                <w:color w:val="auto"/>
                <w:sz w:val="24"/>
              </w:rPr>
              <w:fldChar w:fldCharType="end"/>
            </w:r>
            <w:r>
              <w:rPr>
                <w:color w:val="auto"/>
                <w:sz w:val="24"/>
              </w:rPr>
              <w:t xml:space="preserve"> 监测结果与评价</w:t>
            </w:r>
          </w:p>
          <w:p>
            <w:pPr>
              <w:spacing w:line="360" w:lineRule="auto"/>
              <w:ind w:firstLine="480" w:firstLineChars="200"/>
              <w:rPr>
                <w:color w:val="auto"/>
                <w:sz w:val="24"/>
              </w:rPr>
            </w:pPr>
            <w:r>
              <w:rPr>
                <w:color w:val="auto"/>
                <w:sz w:val="24"/>
              </w:rPr>
              <w:t>地下水环境监测结果见表</w:t>
            </w:r>
            <w:r>
              <w:rPr>
                <w:rFonts w:hint="eastAsia"/>
                <w:color w:val="auto"/>
                <w:sz w:val="24"/>
              </w:rPr>
              <w:t>3-5</w:t>
            </w:r>
            <w:r>
              <w:rPr>
                <w:color w:val="auto"/>
                <w:sz w:val="24"/>
              </w:rPr>
              <w:t>。</w:t>
            </w:r>
          </w:p>
          <w:p>
            <w:pPr>
              <w:adjustRightInd w:val="0"/>
              <w:snapToGrid w:val="0"/>
              <w:spacing w:line="360" w:lineRule="auto"/>
              <w:ind w:firstLine="420" w:firstLineChars="200"/>
              <w:jc w:val="center"/>
              <w:rPr>
                <w:rFonts w:ascii="黑体" w:hAnsi="黑体" w:eastAsia="黑体" w:cs="黑体"/>
                <w:color w:val="auto"/>
                <w:spacing w:val="6"/>
                <w:szCs w:val="22"/>
              </w:rPr>
            </w:pPr>
            <w:r>
              <w:rPr>
                <w:rFonts w:hint="eastAsia" w:ascii="黑体" w:hAnsi="黑体" w:eastAsia="黑体" w:cs="黑体"/>
                <w:bCs/>
                <w:color w:val="auto"/>
                <w:szCs w:val="22"/>
              </w:rPr>
              <w:t xml:space="preserve">表3-5  </w:t>
            </w:r>
            <w:r>
              <w:rPr>
                <w:rFonts w:hint="eastAsia" w:ascii="黑体" w:hAnsi="黑体" w:eastAsia="黑体" w:cs="黑体"/>
                <w:color w:val="auto"/>
                <w:spacing w:val="6"/>
                <w:szCs w:val="22"/>
              </w:rPr>
              <w:t>地下水环境监测结果统计表</w:t>
            </w:r>
          </w:p>
          <w:tbl>
            <w:tblPr>
              <w:tblStyle w:val="35"/>
              <w:tblW w:w="8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780"/>
              <w:gridCol w:w="1050"/>
              <w:gridCol w:w="1125"/>
              <w:gridCol w:w="1110"/>
              <w:gridCol w:w="1185"/>
              <w:gridCol w:w="930"/>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tcPr>
                <w:p>
                  <w:pPr>
                    <w:adjustRightInd w:val="0"/>
                    <w:snapToGrid w:val="0"/>
                    <w:jc w:val="right"/>
                    <w:rPr>
                      <w:color w:val="auto"/>
                      <w:spacing w:val="6"/>
                    </w:rPr>
                  </w:pPr>
                  <w:r>
                    <w:rPr>
                      <w:color w:val="auto"/>
                      <w:spacing w:val="6"/>
                    </w:rPr>
                    <w:pict>
                      <v:line id="直线 200" o:spid="_x0000_s1026" o:spt="20" style="position:absolute;left:0pt;margin-left:-4.3pt;margin-top:0.3pt;height:21.6pt;width:89.55pt;z-index:251659264;mso-width-relative:page;mso-height-relative:page;" coordsize="21600,21600" o:gfxdata="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C&#10;nCoZ1QAAAAYBAAAPAAAAAAAAAAEAIAAAACIAAABkcnMvZG93bnJldi54bWxQSwECFAAUAAAACACH&#10;TuJAhUzj7u4BAADiAwAADgAAAAAAAAABACAAAAAkAQAAZHJzL2Uyb0RvYy54bWxQSwUGAAAAAAYA&#10;BgBZAQAAhAUAAAAA&#10;">
                        <v:path arrowok="t"/>
                        <v:fill focussize="0,0"/>
                        <v:stroke/>
                        <v:imagedata o:title=""/>
                        <o:lock v:ext="edit"/>
                      </v:line>
                    </w:pict>
                  </w:r>
                  <w:r>
                    <w:rPr>
                      <w:color w:val="auto"/>
                      <w:spacing w:val="6"/>
                    </w:rPr>
                    <w:pict>
                      <v:line id="直线 201" o:spid="_x0000_s1030" o:spt="20" style="position:absolute;left:0pt;margin-left:-5pt;margin-top:-0.05pt;height:41.15pt;width:66.05pt;z-index:251660288;mso-width-relative:page;mso-height-relative:page;" coordsize="21600,21600" o:gfxdata="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0dNDjV&#10;AAAACAEAAA8AAAAAAAAAAQAgAAAAIgAAAGRycy9kb3ducmV2LnhtbFBLAQIUABQAAAAIAIdO4kB5&#10;QJMi6gEAAOEDAAAOAAAAAAAAAAEAIAAAACQBAABkcnMvZTJvRG9jLnhtbFBLBQYAAAAABgAGAFkB&#10;AACABQAAAAA=&#10;">
                        <v:path arrowok="t"/>
                        <v:fill focussize="0,0"/>
                        <v:stroke/>
                        <v:imagedata o:title=""/>
                        <o:lock v:ext="edit"/>
                      </v:line>
                    </w:pict>
                  </w:r>
                  <w:r>
                    <w:rPr>
                      <w:color w:val="auto"/>
                      <w:spacing w:val="6"/>
                    </w:rPr>
                    <w:t>监测点位</w:t>
                  </w:r>
                </w:p>
                <w:p>
                  <w:pPr>
                    <w:adjustRightInd w:val="0"/>
                    <w:snapToGrid w:val="0"/>
                    <w:jc w:val="center"/>
                    <w:rPr>
                      <w:color w:val="auto"/>
                      <w:spacing w:val="6"/>
                    </w:rPr>
                  </w:pPr>
                  <w:r>
                    <w:rPr>
                      <w:color w:val="auto"/>
                      <w:spacing w:val="6"/>
                    </w:rPr>
                    <w:t>时间</w:t>
                  </w:r>
                </w:p>
                <w:p>
                  <w:pPr>
                    <w:adjustRightInd w:val="0"/>
                    <w:snapToGrid w:val="0"/>
                    <w:jc w:val="left"/>
                    <w:rPr>
                      <w:color w:val="auto"/>
                      <w:spacing w:val="6"/>
                    </w:rPr>
                  </w:pPr>
                  <w:r>
                    <w:rPr>
                      <w:color w:val="auto"/>
                      <w:spacing w:val="6"/>
                    </w:rPr>
                    <w:t>监测因子</w:t>
                  </w:r>
                </w:p>
              </w:tc>
              <w:tc>
                <w:tcPr>
                  <w:tcW w:w="1050" w:type="dxa"/>
                  <w:vAlign w:val="center"/>
                </w:tcPr>
                <w:p>
                  <w:pPr>
                    <w:adjustRightInd w:val="0"/>
                    <w:snapToGrid w:val="0"/>
                    <w:jc w:val="center"/>
                    <w:rPr>
                      <w:color w:val="auto"/>
                      <w:spacing w:val="6"/>
                    </w:rPr>
                  </w:pPr>
                  <w:r>
                    <w:rPr>
                      <w:color w:val="auto"/>
                      <w:spacing w:val="6"/>
                    </w:rPr>
                    <w:t>定2603</w:t>
                  </w:r>
                </w:p>
              </w:tc>
              <w:tc>
                <w:tcPr>
                  <w:tcW w:w="1125" w:type="dxa"/>
                  <w:vAlign w:val="center"/>
                </w:tcPr>
                <w:p>
                  <w:pPr>
                    <w:adjustRightInd w:val="0"/>
                    <w:snapToGrid w:val="0"/>
                    <w:jc w:val="center"/>
                    <w:rPr>
                      <w:color w:val="auto"/>
                      <w:spacing w:val="6"/>
                    </w:rPr>
                  </w:pPr>
                  <w:r>
                    <w:rPr>
                      <w:color w:val="auto"/>
                      <w:spacing w:val="6"/>
                    </w:rPr>
                    <w:t>定3000-3</w:t>
                  </w:r>
                </w:p>
              </w:tc>
              <w:tc>
                <w:tcPr>
                  <w:tcW w:w="1110" w:type="dxa"/>
                  <w:vAlign w:val="center"/>
                </w:tcPr>
                <w:p>
                  <w:pPr>
                    <w:adjustRightInd w:val="0"/>
                    <w:snapToGrid w:val="0"/>
                    <w:jc w:val="center"/>
                    <w:rPr>
                      <w:color w:val="auto"/>
                      <w:spacing w:val="6"/>
                    </w:rPr>
                  </w:pPr>
                  <w:r>
                    <w:rPr>
                      <w:color w:val="auto"/>
                      <w:spacing w:val="6"/>
                    </w:rPr>
                    <w:t>定4926-3</w:t>
                  </w:r>
                </w:p>
              </w:tc>
              <w:tc>
                <w:tcPr>
                  <w:tcW w:w="1185" w:type="dxa"/>
                  <w:vAlign w:val="center"/>
                </w:tcPr>
                <w:p>
                  <w:pPr>
                    <w:adjustRightInd w:val="0"/>
                    <w:snapToGrid w:val="0"/>
                    <w:jc w:val="center"/>
                    <w:rPr>
                      <w:color w:val="auto"/>
                      <w:spacing w:val="6"/>
                    </w:rPr>
                  </w:pPr>
                  <w:r>
                    <w:rPr>
                      <w:color w:val="auto"/>
                      <w:spacing w:val="6"/>
                    </w:rPr>
                    <w:t>Ⅲ类标准</w:t>
                  </w:r>
                </w:p>
              </w:tc>
              <w:tc>
                <w:tcPr>
                  <w:tcW w:w="930" w:type="dxa"/>
                </w:tcPr>
                <w:p>
                  <w:pPr>
                    <w:adjustRightInd w:val="0"/>
                    <w:snapToGrid w:val="0"/>
                    <w:jc w:val="center"/>
                    <w:rPr>
                      <w:color w:val="auto"/>
                      <w:spacing w:val="6"/>
                    </w:rPr>
                  </w:pPr>
                  <w:r>
                    <w:rPr>
                      <w:color w:val="auto"/>
                      <w:spacing w:val="6"/>
                    </w:rPr>
                    <w:t>是否达标</w:t>
                  </w:r>
                </w:p>
              </w:tc>
              <w:tc>
                <w:tcPr>
                  <w:tcW w:w="930" w:type="dxa"/>
                </w:tcPr>
                <w:p>
                  <w:pPr>
                    <w:adjustRightInd w:val="0"/>
                    <w:snapToGrid w:val="0"/>
                    <w:jc w:val="center"/>
                    <w:rPr>
                      <w:color w:val="auto"/>
                      <w:spacing w:val="6"/>
                    </w:rPr>
                  </w:pPr>
                  <w:r>
                    <w:rPr>
                      <w:rFonts w:hint="eastAsia"/>
                      <w:color w:val="auto"/>
                      <w:spacing w:val="6"/>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pH</w:t>
                  </w:r>
                </w:p>
              </w:tc>
              <w:tc>
                <w:tcPr>
                  <w:tcW w:w="1050" w:type="dxa"/>
                  <w:vAlign w:val="center"/>
                </w:tcPr>
                <w:p>
                  <w:pPr>
                    <w:adjustRightInd w:val="0"/>
                    <w:snapToGrid w:val="0"/>
                    <w:jc w:val="center"/>
                    <w:rPr>
                      <w:color w:val="auto"/>
                      <w:spacing w:val="6"/>
                    </w:rPr>
                  </w:pPr>
                  <w:r>
                    <w:rPr>
                      <w:color w:val="auto"/>
                      <w:spacing w:val="6"/>
                    </w:rPr>
                    <w:t>7.8（12.8℃）</w:t>
                  </w:r>
                </w:p>
              </w:tc>
              <w:tc>
                <w:tcPr>
                  <w:tcW w:w="1125" w:type="dxa"/>
                  <w:vAlign w:val="center"/>
                </w:tcPr>
                <w:p>
                  <w:pPr>
                    <w:adjustRightInd w:val="0"/>
                    <w:snapToGrid w:val="0"/>
                    <w:jc w:val="center"/>
                    <w:rPr>
                      <w:color w:val="auto"/>
                      <w:spacing w:val="6"/>
                    </w:rPr>
                  </w:pPr>
                  <w:r>
                    <w:rPr>
                      <w:color w:val="auto"/>
                      <w:spacing w:val="6"/>
                    </w:rPr>
                    <w:t>8.1（11.7℃）</w:t>
                  </w:r>
                </w:p>
              </w:tc>
              <w:tc>
                <w:tcPr>
                  <w:tcW w:w="1110" w:type="dxa"/>
                  <w:vAlign w:val="center"/>
                </w:tcPr>
                <w:p>
                  <w:pPr>
                    <w:adjustRightInd w:val="0"/>
                    <w:snapToGrid w:val="0"/>
                    <w:jc w:val="center"/>
                    <w:rPr>
                      <w:color w:val="auto"/>
                      <w:spacing w:val="6"/>
                    </w:rPr>
                  </w:pPr>
                  <w:r>
                    <w:rPr>
                      <w:color w:val="auto"/>
                      <w:spacing w:val="6"/>
                    </w:rPr>
                    <w:t>7.9（13.1℃）</w:t>
                  </w:r>
                </w:p>
              </w:tc>
              <w:tc>
                <w:tcPr>
                  <w:tcW w:w="1185" w:type="dxa"/>
                  <w:vAlign w:val="center"/>
                </w:tcPr>
                <w:p>
                  <w:pPr>
                    <w:adjustRightInd w:val="0"/>
                    <w:snapToGrid w:val="0"/>
                    <w:jc w:val="center"/>
                    <w:rPr>
                      <w:color w:val="auto"/>
                      <w:spacing w:val="6"/>
                    </w:rPr>
                  </w:pPr>
                  <w:r>
                    <w:rPr>
                      <w:rFonts w:hint="eastAsia"/>
                      <w:color w:val="auto"/>
                      <w:szCs w:val="21"/>
                    </w:rPr>
                    <w:t>6.5</w:t>
                  </w:r>
                  <w:r>
                    <w:rPr>
                      <w:color w:val="auto"/>
                      <w:szCs w:val="21"/>
                    </w:rPr>
                    <w:t>≤</w:t>
                  </w:r>
                  <w:r>
                    <w:rPr>
                      <w:color w:val="auto"/>
                      <w:spacing w:val="6"/>
                    </w:rPr>
                    <w:t>pH</w:t>
                  </w:r>
                  <w:r>
                    <w:rPr>
                      <w:color w:val="auto"/>
                      <w:szCs w:val="21"/>
                    </w:rPr>
                    <w:t>≤</w:t>
                  </w:r>
                  <w:r>
                    <w:rPr>
                      <w:rFonts w:hint="eastAsia"/>
                      <w:color w:val="auto"/>
                      <w:szCs w:val="21"/>
                    </w:rPr>
                    <w:t>8.5</w:t>
                  </w:r>
                </w:p>
              </w:tc>
              <w:tc>
                <w:tcPr>
                  <w:tcW w:w="930" w:type="dxa"/>
                  <w:vAlign w:val="center"/>
                </w:tcPr>
                <w:p>
                  <w:pPr>
                    <w:adjustRightInd w:val="0"/>
                    <w:snapToGrid w:val="0"/>
                    <w:jc w:val="center"/>
                    <w:rPr>
                      <w:color w:val="auto"/>
                      <w:spacing w:val="6"/>
                    </w:rPr>
                  </w:pP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氨氮（mg/L）</w:t>
                  </w:r>
                </w:p>
              </w:tc>
              <w:tc>
                <w:tcPr>
                  <w:tcW w:w="1050" w:type="dxa"/>
                  <w:vAlign w:val="center"/>
                </w:tcPr>
                <w:p>
                  <w:pPr>
                    <w:adjustRightInd w:val="0"/>
                    <w:snapToGrid w:val="0"/>
                    <w:jc w:val="center"/>
                    <w:rPr>
                      <w:color w:val="auto"/>
                      <w:spacing w:val="6"/>
                    </w:rPr>
                  </w:pPr>
                  <w:r>
                    <w:rPr>
                      <w:color w:val="auto"/>
                      <w:spacing w:val="6"/>
                    </w:rPr>
                    <w:t>0.186</w:t>
                  </w:r>
                </w:p>
              </w:tc>
              <w:tc>
                <w:tcPr>
                  <w:tcW w:w="1125" w:type="dxa"/>
                  <w:vAlign w:val="center"/>
                </w:tcPr>
                <w:p>
                  <w:pPr>
                    <w:adjustRightInd w:val="0"/>
                    <w:snapToGrid w:val="0"/>
                    <w:jc w:val="center"/>
                    <w:rPr>
                      <w:color w:val="auto"/>
                      <w:spacing w:val="6"/>
                    </w:rPr>
                  </w:pPr>
                  <w:r>
                    <w:rPr>
                      <w:color w:val="auto"/>
                      <w:spacing w:val="6"/>
                    </w:rPr>
                    <w:t>0.238</w:t>
                  </w:r>
                </w:p>
              </w:tc>
              <w:tc>
                <w:tcPr>
                  <w:tcW w:w="1110" w:type="dxa"/>
                  <w:vAlign w:val="center"/>
                </w:tcPr>
                <w:p>
                  <w:pPr>
                    <w:adjustRightInd w:val="0"/>
                    <w:snapToGrid w:val="0"/>
                    <w:jc w:val="center"/>
                    <w:rPr>
                      <w:color w:val="auto"/>
                      <w:spacing w:val="6"/>
                    </w:rPr>
                  </w:pPr>
                  <w:r>
                    <w:rPr>
                      <w:color w:val="auto"/>
                      <w:spacing w:val="6"/>
                    </w:rPr>
                    <w:t>0.468</w:t>
                  </w:r>
                </w:p>
              </w:tc>
              <w:tc>
                <w:tcPr>
                  <w:tcW w:w="1185" w:type="dxa"/>
                  <w:vAlign w:val="center"/>
                </w:tcPr>
                <w:p>
                  <w:pPr>
                    <w:adjustRightInd w:val="0"/>
                    <w:snapToGrid w:val="0"/>
                    <w:jc w:val="center"/>
                    <w:rPr>
                      <w:color w:val="auto"/>
                      <w:spacing w:val="6"/>
                    </w:rPr>
                  </w:pPr>
                  <w:r>
                    <w:rPr>
                      <w:color w:val="auto"/>
                      <w:szCs w:val="21"/>
                    </w:rPr>
                    <w:t>≤0.50</w:t>
                  </w:r>
                </w:p>
              </w:tc>
              <w:tc>
                <w:tcPr>
                  <w:tcW w:w="930" w:type="dxa"/>
                  <w:vAlign w:val="center"/>
                </w:tcPr>
                <w:p>
                  <w:pPr>
                    <w:adjustRightInd w:val="0"/>
                    <w:snapToGrid w:val="0"/>
                    <w:jc w:val="center"/>
                    <w:rPr>
                      <w:color w:val="auto"/>
                      <w:spacing w:val="6"/>
                    </w:rPr>
                  </w:pP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挥发酚（mg/L）</w:t>
                  </w:r>
                </w:p>
              </w:tc>
              <w:tc>
                <w:tcPr>
                  <w:tcW w:w="1050" w:type="dxa"/>
                  <w:vAlign w:val="center"/>
                </w:tcPr>
                <w:p>
                  <w:pPr>
                    <w:adjustRightInd w:val="0"/>
                    <w:snapToGrid w:val="0"/>
                    <w:jc w:val="center"/>
                    <w:rPr>
                      <w:color w:val="auto"/>
                      <w:spacing w:val="6"/>
                    </w:rPr>
                  </w:pPr>
                  <w:r>
                    <w:rPr>
                      <w:color w:val="auto"/>
                      <w:spacing w:val="6"/>
                    </w:rPr>
                    <w:t>0.0003L</w:t>
                  </w:r>
                </w:p>
              </w:tc>
              <w:tc>
                <w:tcPr>
                  <w:tcW w:w="1125" w:type="dxa"/>
                  <w:vAlign w:val="center"/>
                </w:tcPr>
                <w:p>
                  <w:pPr>
                    <w:adjustRightInd w:val="0"/>
                    <w:snapToGrid w:val="0"/>
                    <w:jc w:val="center"/>
                    <w:rPr>
                      <w:color w:val="auto"/>
                      <w:spacing w:val="6"/>
                    </w:rPr>
                  </w:pPr>
                  <w:r>
                    <w:rPr>
                      <w:color w:val="auto"/>
                      <w:spacing w:val="6"/>
                    </w:rPr>
                    <w:t>0.0003L</w:t>
                  </w:r>
                </w:p>
              </w:tc>
              <w:tc>
                <w:tcPr>
                  <w:tcW w:w="1110" w:type="dxa"/>
                  <w:vAlign w:val="center"/>
                </w:tcPr>
                <w:p>
                  <w:pPr>
                    <w:adjustRightInd w:val="0"/>
                    <w:snapToGrid w:val="0"/>
                    <w:jc w:val="center"/>
                    <w:rPr>
                      <w:color w:val="auto"/>
                      <w:spacing w:val="6"/>
                    </w:rPr>
                  </w:pPr>
                  <w:r>
                    <w:rPr>
                      <w:color w:val="auto"/>
                      <w:spacing w:val="6"/>
                    </w:rPr>
                    <w:t>0.0003L</w:t>
                  </w:r>
                </w:p>
              </w:tc>
              <w:tc>
                <w:tcPr>
                  <w:tcW w:w="1185" w:type="dxa"/>
                  <w:vAlign w:val="center"/>
                </w:tcPr>
                <w:p>
                  <w:pPr>
                    <w:adjustRightInd w:val="0"/>
                    <w:snapToGrid w:val="0"/>
                    <w:jc w:val="center"/>
                    <w:rPr>
                      <w:color w:val="auto"/>
                      <w:spacing w:val="6"/>
                    </w:rPr>
                  </w:pPr>
                  <w:r>
                    <w:rPr>
                      <w:color w:val="auto"/>
                      <w:szCs w:val="21"/>
                    </w:rPr>
                    <w:t>≤0.002</w:t>
                  </w:r>
                </w:p>
              </w:tc>
              <w:tc>
                <w:tcPr>
                  <w:tcW w:w="930" w:type="dxa"/>
                  <w:vAlign w:val="center"/>
                </w:tcPr>
                <w:p>
                  <w:pPr>
                    <w:adjustRightInd w:val="0"/>
                    <w:snapToGrid w:val="0"/>
                    <w:jc w:val="center"/>
                    <w:rPr>
                      <w:color w:val="auto"/>
                      <w:spacing w:val="6"/>
                    </w:rPr>
                  </w:pP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硫酸盐（mg/L）</w:t>
                  </w:r>
                </w:p>
              </w:tc>
              <w:tc>
                <w:tcPr>
                  <w:tcW w:w="1050" w:type="dxa"/>
                  <w:vAlign w:val="center"/>
                </w:tcPr>
                <w:p>
                  <w:pPr>
                    <w:adjustRightInd w:val="0"/>
                    <w:snapToGrid w:val="0"/>
                    <w:jc w:val="center"/>
                    <w:rPr>
                      <w:color w:val="auto"/>
                      <w:spacing w:val="6"/>
                    </w:rPr>
                  </w:pPr>
                  <w:r>
                    <w:rPr>
                      <w:color w:val="auto"/>
                      <w:spacing w:val="6"/>
                    </w:rPr>
                    <w:t>351</w:t>
                  </w:r>
                </w:p>
              </w:tc>
              <w:tc>
                <w:tcPr>
                  <w:tcW w:w="1125" w:type="dxa"/>
                  <w:vAlign w:val="center"/>
                </w:tcPr>
                <w:p>
                  <w:pPr>
                    <w:adjustRightInd w:val="0"/>
                    <w:snapToGrid w:val="0"/>
                    <w:jc w:val="center"/>
                    <w:rPr>
                      <w:color w:val="auto"/>
                      <w:spacing w:val="6"/>
                    </w:rPr>
                  </w:pPr>
                  <w:r>
                    <w:rPr>
                      <w:color w:val="auto"/>
                      <w:spacing w:val="6"/>
                    </w:rPr>
                    <w:t>142</w:t>
                  </w:r>
                </w:p>
              </w:tc>
              <w:tc>
                <w:tcPr>
                  <w:tcW w:w="1110" w:type="dxa"/>
                  <w:vAlign w:val="center"/>
                </w:tcPr>
                <w:p>
                  <w:pPr>
                    <w:adjustRightInd w:val="0"/>
                    <w:snapToGrid w:val="0"/>
                    <w:jc w:val="center"/>
                    <w:rPr>
                      <w:color w:val="auto"/>
                      <w:spacing w:val="6"/>
                    </w:rPr>
                  </w:pPr>
                  <w:r>
                    <w:rPr>
                      <w:color w:val="auto"/>
                      <w:spacing w:val="6"/>
                    </w:rPr>
                    <w:t>463</w:t>
                  </w:r>
                </w:p>
              </w:tc>
              <w:tc>
                <w:tcPr>
                  <w:tcW w:w="1185" w:type="dxa"/>
                  <w:vAlign w:val="center"/>
                </w:tcPr>
                <w:p>
                  <w:pPr>
                    <w:adjustRightInd w:val="0"/>
                    <w:snapToGrid w:val="0"/>
                    <w:jc w:val="center"/>
                    <w:rPr>
                      <w:color w:val="auto"/>
                      <w:spacing w:val="6"/>
                    </w:rPr>
                  </w:pPr>
                  <w:r>
                    <w:rPr>
                      <w:color w:val="auto"/>
                      <w:szCs w:val="21"/>
                    </w:rPr>
                    <w:t>≤250</w:t>
                  </w:r>
                </w:p>
              </w:tc>
              <w:tc>
                <w:tcPr>
                  <w:tcW w:w="930" w:type="dxa"/>
                  <w:vAlign w:val="center"/>
                </w:tcPr>
                <w:p>
                  <w:pPr>
                    <w:adjustRightInd w:val="0"/>
                    <w:snapToGrid w:val="0"/>
                    <w:jc w:val="center"/>
                    <w:rPr>
                      <w:color w:val="auto"/>
                      <w:spacing w:val="6"/>
                    </w:rPr>
                  </w:pPr>
                  <w:r>
                    <w:rPr>
                      <w:rFonts w:hint="eastAsia"/>
                      <w:color w:val="auto"/>
                      <w:spacing w:val="6"/>
                    </w:rPr>
                    <w:t>不</w:t>
                  </w: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氯化物（mg/L）</w:t>
                  </w:r>
                </w:p>
              </w:tc>
              <w:tc>
                <w:tcPr>
                  <w:tcW w:w="1050" w:type="dxa"/>
                  <w:vAlign w:val="center"/>
                </w:tcPr>
                <w:p>
                  <w:pPr>
                    <w:adjustRightInd w:val="0"/>
                    <w:snapToGrid w:val="0"/>
                    <w:jc w:val="center"/>
                    <w:rPr>
                      <w:color w:val="auto"/>
                      <w:spacing w:val="6"/>
                    </w:rPr>
                  </w:pPr>
                  <w:r>
                    <w:rPr>
                      <w:color w:val="auto"/>
                      <w:spacing w:val="6"/>
                    </w:rPr>
                    <w:t>474</w:t>
                  </w:r>
                </w:p>
              </w:tc>
              <w:tc>
                <w:tcPr>
                  <w:tcW w:w="1125" w:type="dxa"/>
                  <w:vAlign w:val="center"/>
                </w:tcPr>
                <w:p>
                  <w:pPr>
                    <w:adjustRightInd w:val="0"/>
                    <w:snapToGrid w:val="0"/>
                    <w:jc w:val="center"/>
                    <w:rPr>
                      <w:color w:val="auto"/>
                      <w:spacing w:val="6"/>
                    </w:rPr>
                  </w:pPr>
                  <w:r>
                    <w:rPr>
                      <w:color w:val="auto"/>
                      <w:spacing w:val="6"/>
                    </w:rPr>
                    <w:t>121</w:t>
                  </w:r>
                </w:p>
              </w:tc>
              <w:tc>
                <w:tcPr>
                  <w:tcW w:w="1110" w:type="dxa"/>
                  <w:vAlign w:val="center"/>
                </w:tcPr>
                <w:p>
                  <w:pPr>
                    <w:adjustRightInd w:val="0"/>
                    <w:snapToGrid w:val="0"/>
                    <w:jc w:val="center"/>
                    <w:rPr>
                      <w:color w:val="auto"/>
                      <w:spacing w:val="6"/>
                    </w:rPr>
                  </w:pPr>
                  <w:r>
                    <w:rPr>
                      <w:rFonts w:hint="eastAsia"/>
                      <w:color w:val="auto"/>
                      <w:spacing w:val="6"/>
                    </w:rPr>
                    <w:t>2460</w:t>
                  </w:r>
                </w:p>
              </w:tc>
              <w:tc>
                <w:tcPr>
                  <w:tcW w:w="1185" w:type="dxa"/>
                  <w:vAlign w:val="center"/>
                </w:tcPr>
                <w:p>
                  <w:pPr>
                    <w:adjustRightInd w:val="0"/>
                    <w:snapToGrid w:val="0"/>
                    <w:jc w:val="center"/>
                    <w:rPr>
                      <w:color w:val="auto"/>
                      <w:spacing w:val="6"/>
                    </w:rPr>
                  </w:pPr>
                  <w:r>
                    <w:rPr>
                      <w:color w:val="auto"/>
                      <w:szCs w:val="21"/>
                    </w:rPr>
                    <w:t>≤250</w:t>
                  </w:r>
                </w:p>
              </w:tc>
              <w:tc>
                <w:tcPr>
                  <w:tcW w:w="930" w:type="dxa"/>
                  <w:vAlign w:val="center"/>
                </w:tcPr>
                <w:p>
                  <w:pPr>
                    <w:adjustRightInd w:val="0"/>
                    <w:snapToGrid w:val="0"/>
                    <w:jc w:val="center"/>
                    <w:rPr>
                      <w:color w:val="auto"/>
                      <w:spacing w:val="6"/>
                    </w:rPr>
                  </w:pPr>
                  <w:r>
                    <w:rPr>
                      <w:rFonts w:hint="eastAsia"/>
                      <w:color w:val="auto"/>
                      <w:spacing w:val="6"/>
                    </w:rPr>
                    <w:t>不</w:t>
                  </w: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六价铬（mg/L）</w:t>
                  </w:r>
                </w:p>
              </w:tc>
              <w:tc>
                <w:tcPr>
                  <w:tcW w:w="1050" w:type="dxa"/>
                  <w:vAlign w:val="center"/>
                </w:tcPr>
                <w:p>
                  <w:pPr>
                    <w:adjustRightInd w:val="0"/>
                    <w:snapToGrid w:val="0"/>
                    <w:jc w:val="center"/>
                    <w:rPr>
                      <w:color w:val="auto"/>
                      <w:spacing w:val="6"/>
                    </w:rPr>
                  </w:pPr>
                  <w:r>
                    <w:rPr>
                      <w:color w:val="auto"/>
                      <w:spacing w:val="6"/>
                    </w:rPr>
                    <w:t>0.004L</w:t>
                  </w:r>
                </w:p>
              </w:tc>
              <w:tc>
                <w:tcPr>
                  <w:tcW w:w="1125" w:type="dxa"/>
                  <w:vAlign w:val="center"/>
                </w:tcPr>
                <w:p>
                  <w:pPr>
                    <w:adjustRightInd w:val="0"/>
                    <w:snapToGrid w:val="0"/>
                    <w:jc w:val="center"/>
                    <w:rPr>
                      <w:color w:val="auto"/>
                      <w:spacing w:val="6"/>
                    </w:rPr>
                  </w:pPr>
                  <w:r>
                    <w:rPr>
                      <w:color w:val="auto"/>
                      <w:spacing w:val="6"/>
                    </w:rPr>
                    <w:t>0.007</w:t>
                  </w:r>
                </w:p>
              </w:tc>
              <w:tc>
                <w:tcPr>
                  <w:tcW w:w="1110" w:type="dxa"/>
                  <w:vAlign w:val="center"/>
                </w:tcPr>
                <w:p>
                  <w:pPr>
                    <w:adjustRightInd w:val="0"/>
                    <w:snapToGrid w:val="0"/>
                    <w:jc w:val="center"/>
                    <w:rPr>
                      <w:color w:val="auto"/>
                      <w:spacing w:val="6"/>
                    </w:rPr>
                  </w:pPr>
                  <w:r>
                    <w:rPr>
                      <w:color w:val="auto"/>
                      <w:spacing w:val="6"/>
                    </w:rPr>
                    <w:t>0.004L</w:t>
                  </w:r>
                </w:p>
              </w:tc>
              <w:tc>
                <w:tcPr>
                  <w:tcW w:w="1185" w:type="dxa"/>
                  <w:vAlign w:val="center"/>
                </w:tcPr>
                <w:p>
                  <w:pPr>
                    <w:adjustRightInd w:val="0"/>
                    <w:snapToGrid w:val="0"/>
                    <w:jc w:val="center"/>
                    <w:rPr>
                      <w:color w:val="auto"/>
                      <w:spacing w:val="6"/>
                    </w:rPr>
                  </w:pPr>
                  <w:r>
                    <w:rPr>
                      <w:color w:val="auto"/>
                      <w:szCs w:val="21"/>
                    </w:rPr>
                    <w:t>≤0.05</w:t>
                  </w:r>
                </w:p>
              </w:tc>
              <w:tc>
                <w:tcPr>
                  <w:tcW w:w="930" w:type="dxa"/>
                  <w:vAlign w:val="center"/>
                </w:tcPr>
                <w:p>
                  <w:pPr>
                    <w:adjustRightInd w:val="0"/>
                    <w:snapToGrid w:val="0"/>
                    <w:jc w:val="center"/>
                    <w:rPr>
                      <w:color w:val="auto"/>
                      <w:spacing w:val="6"/>
                    </w:rPr>
                  </w:pP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耗氧量（mg/L）</w:t>
                  </w:r>
                </w:p>
              </w:tc>
              <w:tc>
                <w:tcPr>
                  <w:tcW w:w="1050" w:type="dxa"/>
                  <w:vAlign w:val="center"/>
                </w:tcPr>
                <w:p>
                  <w:pPr>
                    <w:adjustRightInd w:val="0"/>
                    <w:snapToGrid w:val="0"/>
                    <w:jc w:val="center"/>
                    <w:rPr>
                      <w:color w:val="auto"/>
                      <w:spacing w:val="6"/>
                    </w:rPr>
                  </w:pPr>
                  <w:r>
                    <w:rPr>
                      <w:color w:val="auto"/>
                      <w:spacing w:val="6"/>
                    </w:rPr>
                    <w:t>1.66</w:t>
                  </w:r>
                </w:p>
              </w:tc>
              <w:tc>
                <w:tcPr>
                  <w:tcW w:w="1125" w:type="dxa"/>
                  <w:vAlign w:val="center"/>
                </w:tcPr>
                <w:p>
                  <w:pPr>
                    <w:adjustRightInd w:val="0"/>
                    <w:snapToGrid w:val="0"/>
                    <w:jc w:val="center"/>
                    <w:rPr>
                      <w:color w:val="auto"/>
                      <w:spacing w:val="6"/>
                    </w:rPr>
                  </w:pPr>
                  <w:r>
                    <w:rPr>
                      <w:color w:val="auto"/>
                      <w:spacing w:val="6"/>
                    </w:rPr>
                    <w:t>2.77</w:t>
                  </w:r>
                </w:p>
              </w:tc>
              <w:tc>
                <w:tcPr>
                  <w:tcW w:w="1110" w:type="dxa"/>
                  <w:vAlign w:val="center"/>
                </w:tcPr>
                <w:p>
                  <w:pPr>
                    <w:adjustRightInd w:val="0"/>
                    <w:snapToGrid w:val="0"/>
                    <w:jc w:val="center"/>
                    <w:rPr>
                      <w:color w:val="auto"/>
                      <w:spacing w:val="6"/>
                    </w:rPr>
                  </w:pPr>
                  <w:r>
                    <w:rPr>
                      <w:color w:val="auto"/>
                      <w:spacing w:val="6"/>
                    </w:rPr>
                    <w:t>2.73</w:t>
                  </w:r>
                </w:p>
              </w:tc>
              <w:tc>
                <w:tcPr>
                  <w:tcW w:w="1185" w:type="dxa"/>
                  <w:vAlign w:val="center"/>
                </w:tcPr>
                <w:p>
                  <w:pPr>
                    <w:adjustRightInd w:val="0"/>
                    <w:snapToGrid w:val="0"/>
                    <w:jc w:val="center"/>
                    <w:rPr>
                      <w:color w:val="auto"/>
                      <w:spacing w:val="6"/>
                    </w:rPr>
                  </w:pPr>
                  <w:r>
                    <w:rPr>
                      <w:color w:val="auto"/>
                      <w:szCs w:val="21"/>
                    </w:rPr>
                    <w:t>≤3.0</w:t>
                  </w:r>
                </w:p>
              </w:tc>
              <w:tc>
                <w:tcPr>
                  <w:tcW w:w="930" w:type="dxa"/>
                  <w:vAlign w:val="center"/>
                </w:tcPr>
                <w:p>
                  <w:pPr>
                    <w:adjustRightInd w:val="0"/>
                    <w:snapToGrid w:val="0"/>
                    <w:jc w:val="center"/>
                    <w:rPr>
                      <w:color w:val="auto"/>
                      <w:spacing w:val="6"/>
                    </w:rPr>
                  </w:pP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总硬度（mg/L）</w:t>
                  </w:r>
                </w:p>
              </w:tc>
              <w:tc>
                <w:tcPr>
                  <w:tcW w:w="1050" w:type="dxa"/>
                  <w:vAlign w:val="center"/>
                </w:tcPr>
                <w:p>
                  <w:pPr>
                    <w:adjustRightInd w:val="0"/>
                    <w:snapToGrid w:val="0"/>
                    <w:jc w:val="center"/>
                    <w:rPr>
                      <w:color w:val="auto"/>
                      <w:spacing w:val="6"/>
                    </w:rPr>
                  </w:pPr>
                  <w:r>
                    <w:rPr>
                      <w:rFonts w:hint="eastAsia"/>
                      <w:color w:val="auto"/>
                      <w:spacing w:val="6"/>
                    </w:rPr>
                    <w:t>647</w:t>
                  </w:r>
                </w:p>
              </w:tc>
              <w:tc>
                <w:tcPr>
                  <w:tcW w:w="1125" w:type="dxa"/>
                  <w:vAlign w:val="center"/>
                </w:tcPr>
                <w:p>
                  <w:pPr>
                    <w:adjustRightInd w:val="0"/>
                    <w:snapToGrid w:val="0"/>
                    <w:jc w:val="center"/>
                    <w:rPr>
                      <w:color w:val="auto"/>
                      <w:spacing w:val="6"/>
                    </w:rPr>
                  </w:pPr>
                  <w:r>
                    <w:rPr>
                      <w:rFonts w:hint="eastAsia"/>
                      <w:color w:val="auto"/>
                      <w:spacing w:val="6"/>
                    </w:rPr>
                    <w:t>411</w:t>
                  </w:r>
                </w:p>
              </w:tc>
              <w:tc>
                <w:tcPr>
                  <w:tcW w:w="1110" w:type="dxa"/>
                  <w:vAlign w:val="center"/>
                </w:tcPr>
                <w:p>
                  <w:pPr>
                    <w:adjustRightInd w:val="0"/>
                    <w:snapToGrid w:val="0"/>
                    <w:jc w:val="center"/>
                    <w:rPr>
                      <w:color w:val="auto"/>
                      <w:spacing w:val="6"/>
                    </w:rPr>
                  </w:pPr>
                  <w:r>
                    <w:rPr>
                      <w:rFonts w:hint="eastAsia"/>
                      <w:color w:val="auto"/>
                      <w:spacing w:val="6"/>
                    </w:rPr>
                    <w:t>3810</w:t>
                  </w:r>
                </w:p>
              </w:tc>
              <w:tc>
                <w:tcPr>
                  <w:tcW w:w="1185" w:type="dxa"/>
                  <w:vAlign w:val="center"/>
                </w:tcPr>
                <w:p>
                  <w:pPr>
                    <w:adjustRightInd w:val="0"/>
                    <w:snapToGrid w:val="0"/>
                    <w:jc w:val="center"/>
                    <w:rPr>
                      <w:rFonts w:eastAsia="黑体"/>
                      <w:color w:val="auto"/>
                      <w:spacing w:val="6"/>
                    </w:rPr>
                  </w:pPr>
                  <w:r>
                    <w:rPr>
                      <w:color w:val="auto"/>
                      <w:szCs w:val="21"/>
                    </w:rPr>
                    <w:t>≤450</w:t>
                  </w:r>
                </w:p>
              </w:tc>
              <w:tc>
                <w:tcPr>
                  <w:tcW w:w="930" w:type="dxa"/>
                  <w:vAlign w:val="center"/>
                </w:tcPr>
                <w:p>
                  <w:pPr>
                    <w:adjustRightInd w:val="0"/>
                    <w:snapToGrid w:val="0"/>
                    <w:jc w:val="center"/>
                    <w:rPr>
                      <w:color w:val="auto"/>
                      <w:spacing w:val="6"/>
                    </w:rPr>
                  </w:pPr>
                  <w:r>
                    <w:rPr>
                      <w:rFonts w:hint="eastAsia"/>
                      <w:color w:val="auto"/>
                      <w:spacing w:val="6"/>
                    </w:rPr>
                    <w:t>不</w:t>
                  </w: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溶解性总固体（mg/L）</w:t>
                  </w:r>
                </w:p>
              </w:tc>
              <w:tc>
                <w:tcPr>
                  <w:tcW w:w="1050" w:type="dxa"/>
                  <w:vAlign w:val="center"/>
                </w:tcPr>
                <w:p>
                  <w:pPr>
                    <w:adjustRightInd w:val="0"/>
                    <w:snapToGrid w:val="0"/>
                    <w:jc w:val="center"/>
                    <w:rPr>
                      <w:color w:val="auto"/>
                      <w:spacing w:val="6"/>
                    </w:rPr>
                  </w:pPr>
                  <w:r>
                    <w:rPr>
                      <w:rFonts w:hint="eastAsia"/>
                      <w:color w:val="auto"/>
                      <w:spacing w:val="6"/>
                    </w:rPr>
                    <w:t>1320</w:t>
                  </w:r>
                </w:p>
              </w:tc>
              <w:tc>
                <w:tcPr>
                  <w:tcW w:w="1125" w:type="dxa"/>
                  <w:vAlign w:val="center"/>
                </w:tcPr>
                <w:p>
                  <w:pPr>
                    <w:adjustRightInd w:val="0"/>
                    <w:snapToGrid w:val="0"/>
                    <w:jc w:val="center"/>
                    <w:rPr>
                      <w:color w:val="auto"/>
                      <w:spacing w:val="6"/>
                    </w:rPr>
                  </w:pPr>
                  <w:r>
                    <w:rPr>
                      <w:rFonts w:hint="eastAsia"/>
                      <w:color w:val="auto"/>
                      <w:spacing w:val="6"/>
                    </w:rPr>
                    <w:t>765</w:t>
                  </w:r>
                </w:p>
              </w:tc>
              <w:tc>
                <w:tcPr>
                  <w:tcW w:w="1110" w:type="dxa"/>
                  <w:vAlign w:val="center"/>
                </w:tcPr>
                <w:p>
                  <w:pPr>
                    <w:adjustRightInd w:val="0"/>
                    <w:snapToGrid w:val="0"/>
                    <w:jc w:val="center"/>
                    <w:rPr>
                      <w:color w:val="auto"/>
                      <w:spacing w:val="6"/>
                    </w:rPr>
                  </w:pPr>
                  <w:r>
                    <w:rPr>
                      <w:rFonts w:hint="eastAsia"/>
                      <w:color w:val="auto"/>
                      <w:spacing w:val="6"/>
                    </w:rPr>
                    <w:t>4150</w:t>
                  </w:r>
                </w:p>
              </w:tc>
              <w:tc>
                <w:tcPr>
                  <w:tcW w:w="1185" w:type="dxa"/>
                  <w:vAlign w:val="center"/>
                </w:tcPr>
                <w:p>
                  <w:pPr>
                    <w:adjustRightInd w:val="0"/>
                    <w:snapToGrid w:val="0"/>
                    <w:jc w:val="center"/>
                    <w:rPr>
                      <w:color w:val="auto"/>
                      <w:spacing w:val="6"/>
                    </w:rPr>
                  </w:pPr>
                  <w:r>
                    <w:rPr>
                      <w:color w:val="auto"/>
                      <w:szCs w:val="21"/>
                    </w:rPr>
                    <w:t>≤1000</w:t>
                  </w:r>
                </w:p>
              </w:tc>
              <w:tc>
                <w:tcPr>
                  <w:tcW w:w="930" w:type="dxa"/>
                  <w:vAlign w:val="center"/>
                </w:tcPr>
                <w:p>
                  <w:pPr>
                    <w:adjustRightInd w:val="0"/>
                    <w:snapToGrid w:val="0"/>
                    <w:jc w:val="center"/>
                    <w:rPr>
                      <w:color w:val="auto"/>
                      <w:spacing w:val="6"/>
                    </w:rPr>
                  </w:pPr>
                  <w:r>
                    <w:rPr>
                      <w:rFonts w:hint="eastAsia"/>
                      <w:color w:val="auto"/>
                      <w:spacing w:val="6"/>
                    </w:rPr>
                    <w:t>不</w:t>
                  </w: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氟化物（mg/L）</w:t>
                  </w:r>
                </w:p>
              </w:tc>
              <w:tc>
                <w:tcPr>
                  <w:tcW w:w="1050" w:type="dxa"/>
                  <w:vAlign w:val="center"/>
                </w:tcPr>
                <w:p>
                  <w:pPr>
                    <w:adjustRightInd w:val="0"/>
                    <w:snapToGrid w:val="0"/>
                    <w:jc w:val="center"/>
                    <w:rPr>
                      <w:color w:val="auto"/>
                      <w:spacing w:val="6"/>
                    </w:rPr>
                  </w:pPr>
                  <w:r>
                    <w:rPr>
                      <w:color w:val="auto"/>
                      <w:spacing w:val="6"/>
                    </w:rPr>
                    <w:t>0.93</w:t>
                  </w:r>
                </w:p>
              </w:tc>
              <w:tc>
                <w:tcPr>
                  <w:tcW w:w="1125" w:type="dxa"/>
                  <w:vAlign w:val="center"/>
                </w:tcPr>
                <w:p>
                  <w:pPr>
                    <w:adjustRightInd w:val="0"/>
                    <w:snapToGrid w:val="0"/>
                    <w:jc w:val="center"/>
                    <w:rPr>
                      <w:color w:val="auto"/>
                      <w:spacing w:val="6"/>
                    </w:rPr>
                  </w:pPr>
                  <w:r>
                    <w:rPr>
                      <w:color w:val="auto"/>
                      <w:spacing w:val="6"/>
                    </w:rPr>
                    <w:t>0.42</w:t>
                  </w:r>
                </w:p>
              </w:tc>
              <w:tc>
                <w:tcPr>
                  <w:tcW w:w="1110" w:type="dxa"/>
                  <w:vAlign w:val="center"/>
                </w:tcPr>
                <w:p>
                  <w:pPr>
                    <w:adjustRightInd w:val="0"/>
                    <w:snapToGrid w:val="0"/>
                    <w:jc w:val="center"/>
                    <w:rPr>
                      <w:color w:val="auto"/>
                      <w:spacing w:val="6"/>
                    </w:rPr>
                  </w:pPr>
                  <w:r>
                    <w:rPr>
                      <w:color w:val="auto"/>
                      <w:spacing w:val="6"/>
                    </w:rPr>
                    <w:t>0.95</w:t>
                  </w:r>
                </w:p>
              </w:tc>
              <w:tc>
                <w:tcPr>
                  <w:tcW w:w="1185" w:type="dxa"/>
                  <w:vAlign w:val="center"/>
                </w:tcPr>
                <w:p>
                  <w:pPr>
                    <w:adjustRightInd w:val="0"/>
                    <w:snapToGrid w:val="0"/>
                    <w:jc w:val="center"/>
                    <w:rPr>
                      <w:color w:val="auto"/>
                      <w:spacing w:val="6"/>
                    </w:rPr>
                  </w:pPr>
                  <w:r>
                    <w:rPr>
                      <w:color w:val="auto"/>
                      <w:szCs w:val="21"/>
                    </w:rPr>
                    <w:t>≤</w:t>
                  </w:r>
                  <w:r>
                    <w:rPr>
                      <w:rFonts w:hint="eastAsia"/>
                      <w:color w:val="auto"/>
                      <w:szCs w:val="21"/>
                    </w:rPr>
                    <w:t>1.0</w:t>
                  </w:r>
                </w:p>
              </w:tc>
              <w:tc>
                <w:tcPr>
                  <w:tcW w:w="930" w:type="dxa"/>
                  <w:vAlign w:val="center"/>
                </w:tcPr>
                <w:p>
                  <w:pPr>
                    <w:adjustRightInd w:val="0"/>
                    <w:snapToGrid w:val="0"/>
                    <w:jc w:val="center"/>
                    <w:rPr>
                      <w:color w:val="auto"/>
                      <w:spacing w:val="6"/>
                    </w:rPr>
                  </w:pP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氰化物（mg/L）</w:t>
                  </w:r>
                </w:p>
              </w:tc>
              <w:tc>
                <w:tcPr>
                  <w:tcW w:w="1050" w:type="dxa"/>
                  <w:vAlign w:val="center"/>
                </w:tcPr>
                <w:p>
                  <w:pPr>
                    <w:adjustRightInd w:val="0"/>
                    <w:snapToGrid w:val="0"/>
                    <w:jc w:val="center"/>
                    <w:rPr>
                      <w:color w:val="auto"/>
                      <w:spacing w:val="6"/>
                    </w:rPr>
                  </w:pPr>
                  <w:r>
                    <w:rPr>
                      <w:color w:val="auto"/>
                      <w:spacing w:val="6"/>
                    </w:rPr>
                    <w:t>0.002</w:t>
                  </w:r>
                </w:p>
              </w:tc>
              <w:tc>
                <w:tcPr>
                  <w:tcW w:w="1125" w:type="dxa"/>
                  <w:vAlign w:val="center"/>
                </w:tcPr>
                <w:p>
                  <w:pPr>
                    <w:adjustRightInd w:val="0"/>
                    <w:snapToGrid w:val="0"/>
                    <w:jc w:val="center"/>
                    <w:rPr>
                      <w:color w:val="auto"/>
                      <w:spacing w:val="6"/>
                    </w:rPr>
                  </w:pPr>
                  <w:r>
                    <w:rPr>
                      <w:color w:val="auto"/>
                      <w:spacing w:val="6"/>
                    </w:rPr>
                    <w:t>0.001</w:t>
                  </w:r>
                </w:p>
              </w:tc>
              <w:tc>
                <w:tcPr>
                  <w:tcW w:w="1110" w:type="dxa"/>
                  <w:vAlign w:val="center"/>
                </w:tcPr>
                <w:p>
                  <w:pPr>
                    <w:adjustRightInd w:val="0"/>
                    <w:snapToGrid w:val="0"/>
                    <w:jc w:val="center"/>
                    <w:rPr>
                      <w:color w:val="auto"/>
                      <w:spacing w:val="6"/>
                    </w:rPr>
                  </w:pPr>
                  <w:r>
                    <w:rPr>
                      <w:color w:val="auto"/>
                      <w:spacing w:val="6"/>
                    </w:rPr>
                    <w:t>0.001</w:t>
                  </w:r>
                </w:p>
              </w:tc>
              <w:tc>
                <w:tcPr>
                  <w:tcW w:w="1185" w:type="dxa"/>
                  <w:vAlign w:val="center"/>
                </w:tcPr>
                <w:p>
                  <w:pPr>
                    <w:adjustRightInd w:val="0"/>
                    <w:snapToGrid w:val="0"/>
                    <w:jc w:val="center"/>
                    <w:rPr>
                      <w:color w:val="auto"/>
                      <w:spacing w:val="6"/>
                    </w:rPr>
                  </w:pPr>
                  <w:r>
                    <w:rPr>
                      <w:color w:val="auto"/>
                      <w:szCs w:val="21"/>
                    </w:rPr>
                    <w:t>≤0.05</w:t>
                  </w:r>
                </w:p>
              </w:tc>
              <w:tc>
                <w:tcPr>
                  <w:tcW w:w="930" w:type="dxa"/>
                  <w:vAlign w:val="center"/>
                </w:tcPr>
                <w:p>
                  <w:pPr>
                    <w:adjustRightInd w:val="0"/>
                    <w:snapToGrid w:val="0"/>
                    <w:jc w:val="center"/>
                    <w:rPr>
                      <w:color w:val="auto"/>
                      <w:spacing w:val="6"/>
                    </w:rPr>
                  </w:pP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铁（mg/L）</w:t>
                  </w:r>
                </w:p>
              </w:tc>
              <w:tc>
                <w:tcPr>
                  <w:tcW w:w="1050" w:type="dxa"/>
                  <w:vAlign w:val="center"/>
                </w:tcPr>
                <w:p>
                  <w:pPr>
                    <w:adjustRightInd w:val="0"/>
                    <w:snapToGrid w:val="0"/>
                    <w:jc w:val="center"/>
                    <w:rPr>
                      <w:color w:val="auto"/>
                      <w:spacing w:val="6"/>
                    </w:rPr>
                  </w:pPr>
                  <w:r>
                    <w:rPr>
                      <w:color w:val="auto"/>
                      <w:spacing w:val="6"/>
                    </w:rPr>
                    <w:t>0.03</w:t>
                  </w:r>
                </w:p>
              </w:tc>
              <w:tc>
                <w:tcPr>
                  <w:tcW w:w="1125" w:type="dxa"/>
                  <w:vAlign w:val="center"/>
                </w:tcPr>
                <w:p>
                  <w:pPr>
                    <w:adjustRightInd w:val="0"/>
                    <w:snapToGrid w:val="0"/>
                    <w:jc w:val="center"/>
                    <w:rPr>
                      <w:color w:val="auto"/>
                      <w:spacing w:val="6"/>
                    </w:rPr>
                  </w:pPr>
                  <w:r>
                    <w:rPr>
                      <w:color w:val="auto"/>
                      <w:spacing w:val="6"/>
                    </w:rPr>
                    <w:t>0.04</w:t>
                  </w:r>
                </w:p>
              </w:tc>
              <w:tc>
                <w:tcPr>
                  <w:tcW w:w="1110" w:type="dxa"/>
                  <w:vAlign w:val="center"/>
                </w:tcPr>
                <w:p>
                  <w:pPr>
                    <w:adjustRightInd w:val="0"/>
                    <w:snapToGrid w:val="0"/>
                    <w:jc w:val="center"/>
                    <w:rPr>
                      <w:color w:val="auto"/>
                      <w:spacing w:val="6"/>
                    </w:rPr>
                  </w:pPr>
                  <w:r>
                    <w:rPr>
                      <w:color w:val="auto"/>
                      <w:spacing w:val="6"/>
                    </w:rPr>
                    <w:t>0.03L</w:t>
                  </w:r>
                </w:p>
              </w:tc>
              <w:tc>
                <w:tcPr>
                  <w:tcW w:w="1185" w:type="dxa"/>
                  <w:vAlign w:val="center"/>
                </w:tcPr>
                <w:p>
                  <w:pPr>
                    <w:adjustRightInd w:val="0"/>
                    <w:snapToGrid w:val="0"/>
                    <w:jc w:val="center"/>
                    <w:rPr>
                      <w:rFonts w:eastAsia="黑体"/>
                      <w:color w:val="auto"/>
                      <w:spacing w:val="6"/>
                    </w:rPr>
                  </w:pPr>
                  <w:r>
                    <w:rPr>
                      <w:color w:val="auto"/>
                      <w:szCs w:val="21"/>
                    </w:rPr>
                    <w:t>≤0.3</w:t>
                  </w:r>
                </w:p>
              </w:tc>
              <w:tc>
                <w:tcPr>
                  <w:tcW w:w="930" w:type="dxa"/>
                  <w:vAlign w:val="center"/>
                </w:tcPr>
                <w:p>
                  <w:pPr>
                    <w:adjustRightInd w:val="0"/>
                    <w:snapToGrid w:val="0"/>
                    <w:jc w:val="center"/>
                    <w:rPr>
                      <w:color w:val="auto"/>
                      <w:spacing w:val="6"/>
                    </w:rPr>
                  </w:pP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锰（mg/L）</w:t>
                  </w:r>
                </w:p>
              </w:tc>
              <w:tc>
                <w:tcPr>
                  <w:tcW w:w="1050" w:type="dxa"/>
                  <w:vAlign w:val="center"/>
                </w:tcPr>
                <w:p>
                  <w:pPr>
                    <w:adjustRightInd w:val="0"/>
                    <w:snapToGrid w:val="0"/>
                    <w:jc w:val="center"/>
                    <w:rPr>
                      <w:color w:val="auto"/>
                      <w:spacing w:val="6"/>
                    </w:rPr>
                  </w:pPr>
                  <w:r>
                    <w:rPr>
                      <w:color w:val="auto"/>
                      <w:spacing w:val="6"/>
                    </w:rPr>
                    <w:t>0.03</w:t>
                  </w:r>
                </w:p>
              </w:tc>
              <w:tc>
                <w:tcPr>
                  <w:tcW w:w="1125" w:type="dxa"/>
                  <w:vAlign w:val="center"/>
                </w:tcPr>
                <w:p>
                  <w:pPr>
                    <w:adjustRightInd w:val="0"/>
                    <w:snapToGrid w:val="0"/>
                    <w:jc w:val="center"/>
                    <w:rPr>
                      <w:color w:val="auto"/>
                      <w:spacing w:val="6"/>
                    </w:rPr>
                  </w:pPr>
                  <w:r>
                    <w:rPr>
                      <w:color w:val="auto"/>
                      <w:spacing w:val="6"/>
                    </w:rPr>
                    <w:t>0.02</w:t>
                  </w:r>
                </w:p>
              </w:tc>
              <w:tc>
                <w:tcPr>
                  <w:tcW w:w="1110" w:type="dxa"/>
                  <w:vAlign w:val="center"/>
                </w:tcPr>
                <w:p>
                  <w:pPr>
                    <w:adjustRightInd w:val="0"/>
                    <w:snapToGrid w:val="0"/>
                    <w:jc w:val="center"/>
                    <w:rPr>
                      <w:color w:val="auto"/>
                      <w:spacing w:val="6"/>
                    </w:rPr>
                  </w:pPr>
                  <w:r>
                    <w:rPr>
                      <w:color w:val="auto"/>
                      <w:spacing w:val="6"/>
                    </w:rPr>
                    <w:t>0.01L</w:t>
                  </w:r>
                </w:p>
              </w:tc>
              <w:tc>
                <w:tcPr>
                  <w:tcW w:w="1185" w:type="dxa"/>
                  <w:vAlign w:val="center"/>
                </w:tcPr>
                <w:p>
                  <w:pPr>
                    <w:adjustRightInd w:val="0"/>
                    <w:snapToGrid w:val="0"/>
                    <w:jc w:val="center"/>
                    <w:rPr>
                      <w:rFonts w:eastAsia="黑体"/>
                      <w:color w:val="auto"/>
                      <w:spacing w:val="6"/>
                    </w:rPr>
                  </w:pPr>
                  <w:r>
                    <w:rPr>
                      <w:color w:val="auto"/>
                      <w:szCs w:val="21"/>
                    </w:rPr>
                    <w:t>≤0.1</w:t>
                  </w:r>
                </w:p>
              </w:tc>
              <w:tc>
                <w:tcPr>
                  <w:tcW w:w="930" w:type="dxa"/>
                  <w:vAlign w:val="center"/>
                </w:tcPr>
                <w:p>
                  <w:pPr>
                    <w:adjustRightInd w:val="0"/>
                    <w:snapToGrid w:val="0"/>
                    <w:jc w:val="center"/>
                    <w:rPr>
                      <w:color w:val="auto"/>
                      <w:spacing w:val="6"/>
                    </w:rPr>
                  </w:pP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铅（mg/L）</w:t>
                  </w:r>
                </w:p>
              </w:tc>
              <w:tc>
                <w:tcPr>
                  <w:tcW w:w="1050" w:type="dxa"/>
                  <w:vAlign w:val="center"/>
                </w:tcPr>
                <w:p>
                  <w:pPr>
                    <w:adjustRightInd w:val="0"/>
                    <w:snapToGrid w:val="0"/>
                    <w:jc w:val="center"/>
                    <w:rPr>
                      <w:color w:val="auto"/>
                      <w:spacing w:val="6"/>
                    </w:rPr>
                  </w:pPr>
                  <w:r>
                    <w:rPr>
                      <w:color w:val="auto"/>
                      <w:spacing w:val="6"/>
                    </w:rPr>
                    <w:t>0.001L</w:t>
                  </w:r>
                </w:p>
              </w:tc>
              <w:tc>
                <w:tcPr>
                  <w:tcW w:w="1125" w:type="dxa"/>
                  <w:vAlign w:val="center"/>
                </w:tcPr>
                <w:p>
                  <w:pPr>
                    <w:adjustRightInd w:val="0"/>
                    <w:snapToGrid w:val="0"/>
                    <w:jc w:val="center"/>
                    <w:rPr>
                      <w:color w:val="auto"/>
                      <w:spacing w:val="6"/>
                    </w:rPr>
                  </w:pPr>
                  <w:r>
                    <w:rPr>
                      <w:color w:val="auto"/>
                      <w:spacing w:val="6"/>
                    </w:rPr>
                    <w:t>0.001</w:t>
                  </w:r>
                </w:p>
              </w:tc>
              <w:tc>
                <w:tcPr>
                  <w:tcW w:w="1110" w:type="dxa"/>
                  <w:vAlign w:val="center"/>
                </w:tcPr>
                <w:p>
                  <w:pPr>
                    <w:adjustRightInd w:val="0"/>
                    <w:snapToGrid w:val="0"/>
                    <w:jc w:val="center"/>
                    <w:rPr>
                      <w:color w:val="auto"/>
                      <w:spacing w:val="6"/>
                    </w:rPr>
                  </w:pPr>
                  <w:r>
                    <w:rPr>
                      <w:color w:val="auto"/>
                      <w:spacing w:val="6"/>
                    </w:rPr>
                    <w:t>0.001</w:t>
                  </w:r>
                </w:p>
              </w:tc>
              <w:tc>
                <w:tcPr>
                  <w:tcW w:w="1185" w:type="dxa"/>
                  <w:vAlign w:val="center"/>
                </w:tcPr>
                <w:p>
                  <w:pPr>
                    <w:adjustRightInd w:val="0"/>
                    <w:snapToGrid w:val="0"/>
                    <w:jc w:val="center"/>
                    <w:rPr>
                      <w:color w:val="auto"/>
                      <w:spacing w:val="6"/>
                    </w:rPr>
                  </w:pPr>
                  <w:r>
                    <w:rPr>
                      <w:color w:val="auto"/>
                      <w:szCs w:val="21"/>
                    </w:rPr>
                    <w:t>≤0.01</w:t>
                  </w:r>
                </w:p>
              </w:tc>
              <w:tc>
                <w:tcPr>
                  <w:tcW w:w="930" w:type="dxa"/>
                  <w:vAlign w:val="center"/>
                </w:tcPr>
                <w:p>
                  <w:pPr>
                    <w:adjustRightInd w:val="0"/>
                    <w:snapToGrid w:val="0"/>
                    <w:jc w:val="center"/>
                    <w:rPr>
                      <w:color w:val="auto"/>
                      <w:spacing w:val="6"/>
                    </w:rPr>
                  </w:pP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镉（mg/L）</w:t>
                  </w:r>
                </w:p>
              </w:tc>
              <w:tc>
                <w:tcPr>
                  <w:tcW w:w="1050" w:type="dxa"/>
                  <w:vAlign w:val="center"/>
                </w:tcPr>
                <w:p>
                  <w:pPr>
                    <w:adjustRightInd w:val="0"/>
                    <w:snapToGrid w:val="0"/>
                    <w:jc w:val="center"/>
                    <w:rPr>
                      <w:color w:val="auto"/>
                      <w:spacing w:val="6"/>
                    </w:rPr>
                  </w:pPr>
                  <w:r>
                    <w:rPr>
                      <w:color w:val="auto"/>
                      <w:spacing w:val="6"/>
                    </w:rPr>
                    <w:t>0.0001L</w:t>
                  </w:r>
                </w:p>
              </w:tc>
              <w:tc>
                <w:tcPr>
                  <w:tcW w:w="1125" w:type="dxa"/>
                  <w:vAlign w:val="center"/>
                </w:tcPr>
                <w:p>
                  <w:pPr>
                    <w:adjustRightInd w:val="0"/>
                    <w:snapToGrid w:val="0"/>
                    <w:jc w:val="center"/>
                    <w:rPr>
                      <w:color w:val="auto"/>
                      <w:spacing w:val="6"/>
                    </w:rPr>
                  </w:pPr>
                  <w:r>
                    <w:rPr>
                      <w:color w:val="auto"/>
                      <w:spacing w:val="6"/>
                    </w:rPr>
                    <w:t>0.0001L</w:t>
                  </w:r>
                </w:p>
              </w:tc>
              <w:tc>
                <w:tcPr>
                  <w:tcW w:w="1110" w:type="dxa"/>
                  <w:vAlign w:val="center"/>
                </w:tcPr>
                <w:p>
                  <w:pPr>
                    <w:adjustRightInd w:val="0"/>
                    <w:snapToGrid w:val="0"/>
                    <w:jc w:val="center"/>
                    <w:rPr>
                      <w:color w:val="auto"/>
                      <w:spacing w:val="6"/>
                    </w:rPr>
                  </w:pPr>
                  <w:r>
                    <w:rPr>
                      <w:color w:val="auto"/>
                      <w:spacing w:val="6"/>
                    </w:rPr>
                    <w:t>0.0001</w:t>
                  </w:r>
                </w:p>
              </w:tc>
              <w:tc>
                <w:tcPr>
                  <w:tcW w:w="1185" w:type="dxa"/>
                  <w:vAlign w:val="center"/>
                </w:tcPr>
                <w:p>
                  <w:pPr>
                    <w:adjustRightInd w:val="0"/>
                    <w:snapToGrid w:val="0"/>
                    <w:jc w:val="center"/>
                    <w:rPr>
                      <w:color w:val="auto"/>
                      <w:spacing w:val="6"/>
                    </w:rPr>
                  </w:pPr>
                  <w:r>
                    <w:rPr>
                      <w:color w:val="auto"/>
                      <w:szCs w:val="21"/>
                    </w:rPr>
                    <w:t>≤0.005</w:t>
                  </w:r>
                </w:p>
              </w:tc>
              <w:tc>
                <w:tcPr>
                  <w:tcW w:w="930" w:type="dxa"/>
                  <w:vAlign w:val="center"/>
                </w:tcPr>
                <w:p>
                  <w:pPr>
                    <w:adjustRightInd w:val="0"/>
                    <w:snapToGrid w:val="0"/>
                    <w:jc w:val="center"/>
                    <w:rPr>
                      <w:color w:val="auto"/>
                      <w:spacing w:val="6"/>
                    </w:rPr>
                  </w:pP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砷（mg/L）</w:t>
                  </w:r>
                </w:p>
              </w:tc>
              <w:tc>
                <w:tcPr>
                  <w:tcW w:w="1050" w:type="dxa"/>
                  <w:vAlign w:val="center"/>
                </w:tcPr>
                <w:p>
                  <w:pPr>
                    <w:adjustRightInd w:val="0"/>
                    <w:snapToGrid w:val="0"/>
                    <w:jc w:val="center"/>
                    <w:rPr>
                      <w:color w:val="auto"/>
                      <w:spacing w:val="6"/>
                    </w:rPr>
                  </w:pPr>
                  <w:r>
                    <w:rPr>
                      <w:rFonts w:hint="eastAsia"/>
                      <w:color w:val="auto"/>
                      <w:spacing w:val="6"/>
                    </w:rPr>
                    <w:t>0.0032</w:t>
                  </w:r>
                </w:p>
              </w:tc>
              <w:tc>
                <w:tcPr>
                  <w:tcW w:w="1125" w:type="dxa"/>
                  <w:vAlign w:val="center"/>
                </w:tcPr>
                <w:p>
                  <w:pPr>
                    <w:adjustRightInd w:val="0"/>
                    <w:snapToGrid w:val="0"/>
                    <w:jc w:val="center"/>
                    <w:rPr>
                      <w:color w:val="auto"/>
                      <w:spacing w:val="6"/>
                    </w:rPr>
                  </w:pPr>
                  <w:r>
                    <w:rPr>
                      <w:rFonts w:hint="eastAsia"/>
                      <w:color w:val="auto"/>
                      <w:spacing w:val="6"/>
                    </w:rPr>
                    <w:t>0.0045</w:t>
                  </w:r>
                </w:p>
              </w:tc>
              <w:tc>
                <w:tcPr>
                  <w:tcW w:w="1110" w:type="dxa"/>
                  <w:vAlign w:val="center"/>
                </w:tcPr>
                <w:p>
                  <w:pPr>
                    <w:adjustRightInd w:val="0"/>
                    <w:snapToGrid w:val="0"/>
                    <w:jc w:val="center"/>
                    <w:rPr>
                      <w:color w:val="auto"/>
                      <w:spacing w:val="6"/>
                    </w:rPr>
                  </w:pPr>
                  <w:r>
                    <w:rPr>
                      <w:color w:val="auto"/>
                      <w:spacing w:val="6"/>
                    </w:rPr>
                    <w:t>0.</w:t>
                  </w:r>
                  <w:r>
                    <w:rPr>
                      <w:rFonts w:hint="eastAsia"/>
                      <w:color w:val="auto"/>
                      <w:spacing w:val="6"/>
                    </w:rPr>
                    <w:t>000</w:t>
                  </w:r>
                  <w:r>
                    <w:rPr>
                      <w:color w:val="auto"/>
                      <w:spacing w:val="6"/>
                    </w:rPr>
                    <w:t>3L</w:t>
                  </w:r>
                </w:p>
              </w:tc>
              <w:tc>
                <w:tcPr>
                  <w:tcW w:w="1185" w:type="dxa"/>
                  <w:vAlign w:val="center"/>
                </w:tcPr>
                <w:p>
                  <w:pPr>
                    <w:adjustRightInd w:val="0"/>
                    <w:snapToGrid w:val="0"/>
                    <w:jc w:val="center"/>
                    <w:rPr>
                      <w:color w:val="auto"/>
                      <w:spacing w:val="6"/>
                    </w:rPr>
                  </w:pPr>
                  <w:r>
                    <w:rPr>
                      <w:color w:val="auto"/>
                      <w:szCs w:val="21"/>
                    </w:rPr>
                    <w:t>≤0.01</w:t>
                  </w:r>
                </w:p>
              </w:tc>
              <w:tc>
                <w:tcPr>
                  <w:tcW w:w="930" w:type="dxa"/>
                  <w:vAlign w:val="center"/>
                </w:tcPr>
                <w:p>
                  <w:pPr>
                    <w:adjustRightInd w:val="0"/>
                    <w:snapToGrid w:val="0"/>
                    <w:jc w:val="center"/>
                    <w:rPr>
                      <w:color w:val="auto"/>
                      <w:spacing w:val="6"/>
                    </w:rPr>
                  </w:pP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汞（mg/L）</w:t>
                  </w:r>
                </w:p>
              </w:tc>
              <w:tc>
                <w:tcPr>
                  <w:tcW w:w="1050" w:type="dxa"/>
                  <w:vAlign w:val="center"/>
                </w:tcPr>
                <w:p>
                  <w:pPr>
                    <w:adjustRightInd w:val="0"/>
                    <w:snapToGrid w:val="0"/>
                    <w:jc w:val="center"/>
                    <w:rPr>
                      <w:color w:val="auto"/>
                      <w:spacing w:val="6"/>
                    </w:rPr>
                  </w:pPr>
                  <w:r>
                    <w:rPr>
                      <w:color w:val="auto"/>
                      <w:spacing w:val="6"/>
                    </w:rPr>
                    <w:t>0.0</w:t>
                  </w:r>
                  <w:r>
                    <w:rPr>
                      <w:rFonts w:hint="eastAsia"/>
                      <w:color w:val="auto"/>
                      <w:spacing w:val="6"/>
                    </w:rPr>
                    <w:t>000</w:t>
                  </w:r>
                  <w:r>
                    <w:rPr>
                      <w:color w:val="auto"/>
                      <w:spacing w:val="6"/>
                    </w:rPr>
                    <w:t>4L</w:t>
                  </w:r>
                </w:p>
              </w:tc>
              <w:tc>
                <w:tcPr>
                  <w:tcW w:w="1125" w:type="dxa"/>
                  <w:vAlign w:val="center"/>
                </w:tcPr>
                <w:p>
                  <w:pPr>
                    <w:adjustRightInd w:val="0"/>
                    <w:snapToGrid w:val="0"/>
                    <w:jc w:val="center"/>
                    <w:rPr>
                      <w:color w:val="auto"/>
                      <w:spacing w:val="6"/>
                    </w:rPr>
                  </w:pPr>
                  <w:r>
                    <w:rPr>
                      <w:color w:val="auto"/>
                      <w:spacing w:val="6"/>
                    </w:rPr>
                    <w:t>0.0</w:t>
                  </w:r>
                  <w:r>
                    <w:rPr>
                      <w:rFonts w:hint="eastAsia"/>
                      <w:color w:val="auto"/>
                      <w:spacing w:val="6"/>
                    </w:rPr>
                    <w:t>000</w:t>
                  </w:r>
                  <w:r>
                    <w:rPr>
                      <w:color w:val="auto"/>
                      <w:spacing w:val="6"/>
                    </w:rPr>
                    <w:t>4L</w:t>
                  </w:r>
                </w:p>
              </w:tc>
              <w:tc>
                <w:tcPr>
                  <w:tcW w:w="1110" w:type="dxa"/>
                  <w:vAlign w:val="center"/>
                </w:tcPr>
                <w:p>
                  <w:pPr>
                    <w:adjustRightInd w:val="0"/>
                    <w:snapToGrid w:val="0"/>
                    <w:jc w:val="center"/>
                    <w:rPr>
                      <w:color w:val="auto"/>
                      <w:spacing w:val="6"/>
                    </w:rPr>
                  </w:pPr>
                  <w:r>
                    <w:rPr>
                      <w:color w:val="auto"/>
                      <w:spacing w:val="6"/>
                    </w:rPr>
                    <w:t>0.0</w:t>
                  </w:r>
                  <w:r>
                    <w:rPr>
                      <w:rFonts w:hint="eastAsia"/>
                      <w:color w:val="auto"/>
                      <w:spacing w:val="6"/>
                    </w:rPr>
                    <w:t>000</w:t>
                  </w:r>
                  <w:r>
                    <w:rPr>
                      <w:color w:val="auto"/>
                      <w:spacing w:val="6"/>
                    </w:rPr>
                    <w:t>4L</w:t>
                  </w:r>
                </w:p>
              </w:tc>
              <w:tc>
                <w:tcPr>
                  <w:tcW w:w="1185" w:type="dxa"/>
                  <w:vAlign w:val="center"/>
                </w:tcPr>
                <w:p>
                  <w:pPr>
                    <w:adjustRightInd w:val="0"/>
                    <w:snapToGrid w:val="0"/>
                    <w:jc w:val="center"/>
                    <w:rPr>
                      <w:color w:val="auto"/>
                      <w:spacing w:val="6"/>
                    </w:rPr>
                  </w:pPr>
                  <w:r>
                    <w:rPr>
                      <w:color w:val="auto"/>
                      <w:szCs w:val="21"/>
                    </w:rPr>
                    <w:t>≤0.</w:t>
                  </w:r>
                  <w:r>
                    <w:rPr>
                      <w:rFonts w:hint="eastAsia"/>
                      <w:color w:val="auto"/>
                      <w:szCs w:val="21"/>
                    </w:rPr>
                    <w:t>0</w:t>
                  </w:r>
                  <w:r>
                    <w:rPr>
                      <w:color w:val="auto"/>
                      <w:szCs w:val="21"/>
                    </w:rPr>
                    <w:t>01</w:t>
                  </w:r>
                </w:p>
              </w:tc>
              <w:tc>
                <w:tcPr>
                  <w:tcW w:w="930" w:type="dxa"/>
                  <w:vAlign w:val="center"/>
                </w:tcPr>
                <w:p>
                  <w:pPr>
                    <w:adjustRightInd w:val="0"/>
                    <w:snapToGrid w:val="0"/>
                    <w:jc w:val="center"/>
                    <w:rPr>
                      <w:color w:val="auto"/>
                      <w:spacing w:val="6"/>
                    </w:rPr>
                  </w:pP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钾（mg/L）</w:t>
                  </w:r>
                </w:p>
              </w:tc>
              <w:tc>
                <w:tcPr>
                  <w:tcW w:w="1050" w:type="dxa"/>
                  <w:vAlign w:val="center"/>
                </w:tcPr>
                <w:p>
                  <w:pPr>
                    <w:adjustRightInd w:val="0"/>
                    <w:snapToGrid w:val="0"/>
                    <w:jc w:val="center"/>
                    <w:rPr>
                      <w:color w:val="auto"/>
                      <w:spacing w:val="6"/>
                    </w:rPr>
                  </w:pPr>
                  <w:r>
                    <w:rPr>
                      <w:color w:val="auto"/>
                      <w:spacing w:val="6"/>
                    </w:rPr>
                    <w:t>1.07</w:t>
                  </w:r>
                </w:p>
              </w:tc>
              <w:tc>
                <w:tcPr>
                  <w:tcW w:w="1125" w:type="dxa"/>
                  <w:vAlign w:val="center"/>
                </w:tcPr>
                <w:p>
                  <w:pPr>
                    <w:adjustRightInd w:val="0"/>
                    <w:snapToGrid w:val="0"/>
                    <w:jc w:val="center"/>
                    <w:rPr>
                      <w:color w:val="auto"/>
                      <w:spacing w:val="6"/>
                    </w:rPr>
                  </w:pPr>
                  <w:r>
                    <w:rPr>
                      <w:color w:val="auto"/>
                      <w:spacing w:val="6"/>
                    </w:rPr>
                    <w:t>0.96</w:t>
                  </w:r>
                </w:p>
              </w:tc>
              <w:tc>
                <w:tcPr>
                  <w:tcW w:w="1110" w:type="dxa"/>
                  <w:vAlign w:val="center"/>
                </w:tcPr>
                <w:p>
                  <w:pPr>
                    <w:adjustRightInd w:val="0"/>
                    <w:snapToGrid w:val="0"/>
                    <w:jc w:val="center"/>
                    <w:rPr>
                      <w:color w:val="auto"/>
                      <w:spacing w:val="6"/>
                    </w:rPr>
                  </w:pPr>
                  <w:r>
                    <w:rPr>
                      <w:color w:val="auto"/>
                      <w:spacing w:val="6"/>
                    </w:rPr>
                    <w:t>1.03</w:t>
                  </w:r>
                </w:p>
              </w:tc>
              <w:tc>
                <w:tcPr>
                  <w:tcW w:w="1185" w:type="dxa"/>
                  <w:vAlign w:val="center"/>
                </w:tcPr>
                <w:p>
                  <w:pPr>
                    <w:adjustRightInd w:val="0"/>
                    <w:snapToGrid w:val="0"/>
                    <w:jc w:val="center"/>
                    <w:rPr>
                      <w:rFonts w:eastAsia="黑体"/>
                      <w:color w:val="auto"/>
                      <w:spacing w:val="6"/>
                    </w:rPr>
                  </w:pPr>
                  <w:r>
                    <w:rPr>
                      <w:color w:val="auto"/>
                      <w:szCs w:val="21"/>
                    </w:rPr>
                    <w:t>/</w:t>
                  </w:r>
                </w:p>
              </w:tc>
              <w:tc>
                <w:tcPr>
                  <w:tcW w:w="930" w:type="dxa"/>
                  <w:vAlign w:val="center"/>
                </w:tcPr>
                <w:p>
                  <w:pPr>
                    <w:adjustRightInd w:val="0"/>
                    <w:snapToGrid w:val="0"/>
                    <w:jc w:val="center"/>
                    <w:rPr>
                      <w:color w:val="auto"/>
                      <w:spacing w:val="6"/>
                    </w:rPr>
                  </w:pPr>
                  <w:r>
                    <w:rPr>
                      <w:color w:val="auto"/>
                      <w:szCs w:val="21"/>
                    </w:rPr>
                    <w:t>/</w:t>
                  </w:r>
                </w:p>
              </w:tc>
              <w:tc>
                <w:tcPr>
                  <w:tcW w:w="930" w:type="dxa"/>
                  <w:vAlign w:val="center"/>
                </w:tcPr>
                <w:p>
                  <w:pPr>
                    <w:adjustRightInd w:val="0"/>
                    <w:snapToGri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钠（mg/L）</w:t>
                  </w:r>
                </w:p>
              </w:tc>
              <w:tc>
                <w:tcPr>
                  <w:tcW w:w="1050" w:type="dxa"/>
                  <w:vAlign w:val="center"/>
                </w:tcPr>
                <w:p>
                  <w:pPr>
                    <w:adjustRightInd w:val="0"/>
                    <w:snapToGrid w:val="0"/>
                    <w:jc w:val="center"/>
                    <w:rPr>
                      <w:color w:val="auto"/>
                      <w:spacing w:val="6"/>
                    </w:rPr>
                  </w:pPr>
                  <w:r>
                    <w:rPr>
                      <w:color w:val="auto"/>
                      <w:spacing w:val="6"/>
                    </w:rPr>
                    <w:t>189</w:t>
                  </w:r>
                </w:p>
              </w:tc>
              <w:tc>
                <w:tcPr>
                  <w:tcW w:w="1125" w:type="dxa"/>
                  <w:vAlign w:val="center"/>
                </w:tcPr>
                <w:p>
                  <w:pPr>
                    <w:adjustRightInd w:val="0"/>
                    <w:snapToGrid w:val="0"/>
                    <w:jc w:val="center"/>
                    <w:rPr>
                      <w:color w:val="auto"/>
                      <w:spacing w:val="6"/>
                    </w:rPr>
                  </w:pPr>
                  <w:r>
                    <w:rPr>
                      <w:color w:val="auto"/>
                      <w:spacing w:val="6"/>
                    </w:rPr>
                    <w:t>101</w:t>
                  </w:r>
                </w:p>
              </w:tc>
              <w:tc>
                <w:tcPr>
                  <w:tcW w:w="1110" w:type="dxa"/>
                  <w:vAlign w:val="center"/>
                </w:tcPr>
                <w:p>
                  <w:pPr>
                    <w:adjustRightInd w:val="0"/>
                    <w:snapToGrid w:val="0"/>
                    <w:jc w:val="center"/>
                    <w:rPr>
                      <w:color w:val="auto"/>
                      <w:spacing w:val="6"/>
                    </w:rPr>
                  </w:pPr>
                  <w:r>
                    <w:rPr>
                      <w:color w:val="auto"/>
                      <w:spacing w:val="6"/>
                    </w:rPr>
                    <w:t>157</w:t>
                  </w:r>
                </w:p>
              </w:tc>
              <w:tc>
                <w:tcPr>
                  <w:tcW w:w="1185" w:type="dxa"/>
                  <w:vAlign w:val="center"/>
                </w:tcPr>
                <w:p>
                  <w:pPr>
                    <w:adjustRightInd w:val="0"/>
                    <w:snapToGrid w:val="0"/>
                    <w:jc w:val="center"/>
                    <w:rPr>
                      <w:rFonts w:eastAsia="黑体"/>
                      <w:color w:val="auto"/>
                      <w:spacing w:val="6"/>
                    </w:rPr>
                  </w:pPr>
                  <w:r>
                    <w:rPr>
                      <w:color w:val="auto"/>
                      <w:szCs w:val="21"/>
                    </w:rPr>
                    <w:t>≤</w:t>
                  </w:r>
                  <w:r>
                    <w:rPr>
                      <w:rFonts w:hint="eastAsia"/>
                      <w:color w:val="auto"/>
                      <w:szCs w:val="21"/>
                    </w:rPr>
                    <w:t>200</w:t>
                  </w:r>
                </w:p>
              </w:tc>
              <w:tc>
                <w:tcPr>
                  <w:tcW w:w="930" w:type="dxa"/>
                  <w:vAlign w:val="center"/>
                </w:tcPr>
                <w:p>
                  <w:pPr>
                    <w:adjustRightInd w:val="0"/>
                    <w:snapToGrid w:val="0"/>
                    <w:jc w:val="center"/>
                    <w:rPr>
                      <w:color w:val="auto"/>
                      <w:spacing w:val="6"/>
                    </w:rPr>
                  </w:pPr>
                  <w:r>
                    <w:rPr>
                      <w:color w:val="auto"/>
                      <w:spacing w:val="6"/>
                    </w:rPr>
                    <w:t>达标</w:t>
                  </w:r>
                </w:p>
              </w:tc>
              <w:tc>
                <w:tcPr>
                  <w:tcW w:w="930" w:type="dxa"/>
                  <w:vAlign w:val="center"/>
                </w:tcPr>
                <w:p>
                  <w:pPr>
                    <w:adjustRightInd w:val="0"/>
                    <w:snapToGrid w:val="0"/>
                    <w:jc w:val="center"/>
                    <w:rPr>
                      <w:color w:val="auto"/>
                      <w:spacing w:val="6"/>
                    </w:rPr>
                  </w:pPr>
                  <w:r>
                    <w:rPr>
                      <w:rFonts w:hint="eastAsia"/>
                      <w:color w:val="auto"/>
                      <w:spacing w:val="6"/>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钙（mg/L）</w:t>
                  </w:r>
                </w:p>
              </w:tc>
              <w:tc>
                <w:tcPr>
                  <w:tcW w:w="1050" w:type="dxa"/>
                  <w:vAlign w:val="center"/>
                </w:tcPr>
                <w:p>
                  <w:pPr>
                    <w:adjustRightInd w:val="0"/>
                    <w:snapToGrid w:val="0"/>
                    <w:jc w:val="center"/>
                    <w:rPr>
                      <w:color w:val="auto"/>
                      <w:spacing w:val="6"/>
                    </w:rPr>
                  </w:pPr>
                  <w:r>
                    <w:rPr>
                      <w:rFonts w:hint="eastAsia"/>
                      <w:color w:val="auto"/>
                      <w:spacing w:val="6"/>
                    </w:rPr>
                    <w:t>106.4</w:t>
                  </w:r>
                </w:p>
              </w:tc>
              <w:tc>
                <w:tcPr>
                  <w:tcW w:w="1125" w:type="dxa"/>
                  <w:vAlign w:val="center"/>
                </w:tcPr>
                <w:p>
                  <w:pPr>
                    <w:adjustRightInd w:val="0"/>
                    <w:snapToGrid w:val="0"/>
                    <w:jc w:val="center"/>
                    <w:rPr>
                      <w:color w:val="auto"/>
                      <w:spacing w:val="6"/>
                    </w:rPr>
                  </w:pPr>
                  <w:r>
                    <w:rPr>
                      <w:color w:val="auto"/>
                      <w:spacing w:val="6"/>
                    </w:rPr>
                    <w:t>59.1</w:t>
                  </w:r>
                </w:p>
              </w:tc>
              <w:tc>
                <w:tcPr>
                  <w:tcW w:w="1110" w:type="dxa"/>
                  <w:vAlign w:val="center"/>
                </w:tcPr>
                <w:p>
                  <w:pPr>
                    <w:adjustRightInd w:val="0"/>
                    <w:snapToGrid w:val="0"/>
                    <w:jc w:val="center"/>
                    <w:rPr>
                      <w:color w:val="auto"/>
                      <w:spacing w:val="6"/>
                    </w:rPr>
                  </w:pPr>
                  <w:r>
                    <w:rPr>
                      <w:rFonts w:hint="eastAsia"/>
                      <w:color w:val="auto"/>
                      <w:spacing w:val="6"/>
                    </w:rPr>
                    <w:t>5</w:t>
                  </w:r>
                  <w:r>
                    <w:rPr>
                      <w:color w:val="auto"/>
                      <w:spacing w:val="6"/>
                    </w:rPr>
                    <w:t>64</w:t>
                  </w:r>
                </w:p>
              </w:tc>
              <w:tc>
                <w:tcPr>
                  <w:tcW w:w="1185" w:type="dxa"/>
                  <w:vAlign w:val="center"/>
                </w:tcPr>
                <w:p>
                  <w:pPr>
                    <w:adjustRightInd w:val="0"/>
                    <w:snapToGrid w:val="0"/>
                    <w:jc w:val="center"/>
                    <w:rPr>
                      <w:rFonts w:eastAsia="黑体"/>
                      <w:color w:val="auto"/>
                      <w:spacing w:val="6"/>
                    </w:rPr>
                  </w:pPr>
                  <w:r>
                    <w:rPr>
                      <w:color w:val="auto"/>
                      <w:szCs w:val="21"/>
                    </w:rPr>
                    <w:t>/</w:t>
                  </w:r>
                </w:p>
              </w:tc>
              <w:tc>
                <w:tcPr>
                  <w:tcW w:w="930" w:type="dxa"/>
                  <w:vAlign w:val="center"/>
                </w:tcPr>
                <w:p>
                  <w:pPr>
                    <w:adjustRightInd w:val="0"/>
                    <w:snapToGrid w:val="0"/>
                    <w:jc w:val="center"/>
                    <w:rPr>
                      <w:color w:val="auto"/>
                      <w:spacing w:val="6"/>
                    </w:rPr>
                  </w:pPr>
                  <w:r>
                    <w:rPr>
                      <w:color w:val="auto"/>
                      <w:szCs w:val="21"/>
                    </w:rPr>
                    <w:t>/</w:t>
                  </w:r>
                </w:p>
              </w:tc>
              <w:tc>
                <w:tcPr>
                  <w:tcW w:w="930" w:type="dxa"/>
                  <w:vAlign w:val="center"/>
                </w:tcPr>
                <w:p>
                  <w:pPr>
                    <w:adjustRightInd w:val="0"/>
                    <w:snapToGri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镁（mg/L）</w:t>
                  </w:r>
                </w:p>
              </w:tc>
              <w:tc>
                <w:tcPr>
                  <w:tcW w:w="1050" w:type="dxa"/>
                  <w:vAlign w:val="center"/>
                </w:tcPr>
                <w:p>
                  <w:pPr>
                    <w:adjustRightInd w:val="0"/>
                    <w:snapToGrid w:val="0"/>
                    <w:jc w:val="center"/>
                    <w:rPr>
                      <w:color w:val="auto"/>
                      <w:spacing w:val="6"/>
                    </w:rPr>
                  </w:pPr>
                  <w:r>
                    <w:rPr>
                      <w:rFonts w:hint="eastAsia"/>
                      <w:color w:val="auto"/>
                      <w:spacing w:val="6"/>
                    </w:rPr>
                    <w:t>89.8</w:t>
                  </w:r>
                </w:p>
              </w:tc>
              <w:tc>
                <w:tcPr>
                  <w:tcW w:w="1125" w:type="dxa"/>
                  <w:vAlign w:val="center"/>
                </w:tcPr>
                <w:p>
                  <w:pPr>
                    <w:adjustRightInd w:val="0"/>
                    <w:snapToGrid w:val="0"/>
                    <w:jc w:val="center"/>
                    <w:rPr>
                      <w:color w:val="auto"/>
                      <w:spacing w:val="6"/>
                    </w:rPr>
                  </w:pPr>
                  <w:r>
                    <w:rPr>
                      <w:color w:val="auto"/>
                      <w:spacing w:val="6"/>
                    </w:rPr>
                    <w:t>61.2</w:t>
                  </w:r>
                </w:p>
              </w:tc>
              <w:tc>
                <w:tcPr>
                  <w:tcW w:w="1110" w:type="dxa"/>
                  <w:vAlign w:val="center"/>
                </w:tcPr>
                <w:p>
                  <w:pPr>
                    <w:adjustRightInd w:val="0"/>
                    <w:snapToGrid w:val="0"/>
                    <w:jc w:val="center"/>
                    <w:rPr>
                      <w:color w:val="auto"/>
                      <w:spacing w:val="6"/>
                    </w:rPr>
                  </w:pPr>
                  <w:r>
                    <w:rPr>
                      <w:rFonts w:hint="eastAsia"/>
                      <w:color w:val="auto"/>
                      <w:spacing w:val="6"/>
                    </w:rPr>
                    <w:t>351</w:t>
                  </w:r>
                </w:p>
              </w:tc>
              <w:tc>
                <w:tcPr>
                  <w:tcW w:w="1185" w:type="dxa"/>
                  <w:vAlign w:val="center"/>
                </w:tcPr>
                <w:p>
                  <w:pPr>
                    <w:adjustRightInd w:val="0"/>
                    <w:snapToGrid w:val="0"/>
                    <w:jc w:val="center"/>
                    <w:rPr>
                      <w:rFonts w:eastAsia="黑体"/>
                      <w:color w:val="auto"/>
                      <w:spacing w:val="6"/>
                    </w:rPr>
                  </w:pPr>
                  <w:r>
                    <w:rPr>
                      <w:color w:val="auto"/>
                      <w:szCs w:val="21"/>
                    </w:rPr>
                    <w:t>/</w:t>
                  </w:r>
                </w:p>
              </w:tc>
              <w:tc>
                <w:tcPr>
                  <w:tcW w:w="930" w:type="dxa"/>
                  <w:vAlign w:val="center"/>
                </w:tcPr>
                <w:p>
                  <w:pPr>
                    <w:adjustRightInd w:val="0"/>
                    <w:snapToGrid w:val="0"/>
                    <w:jc w:val="center"/>
                    <w:rPr>
                      <w:color w:val="auto"/>
                      <w:spacing w:val="6"/>
                    </w:rPr>
                  </w:pPr>
                  <w:r>
                    <w:rPr>
                      <w:color w:val="auto"/>
                      <w:szCs w:val="21"/>
                    </w:rPr>
                    <w:t>/</w:t>
                  </w:r>
                </w:p>
              </w:tc>
              <w:tc>
                <w:tcPr>
                  <w:tcW w:w="930" w:type="dxa"/>
                  <w:vAlign w:val="center"/>
                </w:tcPr>
                <w:p>
                  <w:pPr>
                    <w:adjustRightInd w:val="0"/>
                    <w:snapToGri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gridSpan w:val="2"/>
                  <w:vAlign w:val="center"/>
                </w:tcPr>
                <w:p>
                  <w:pPr>
                    <w:adjustRightInd w:val="0"/>
                    <w:snapToGrid w:val="0"/>
                    <w:jc w:val="center"/>
                    <w:rPr>
                      <w:color w:val="auto"/>
                      <w:spacing w:val="6"/>
                    </w:rPr>
                  </w:pPr>
                  <w:r>
                    <w:rPr>
                      <w:color w:val="auto"/>
                      <w:spacing w:val="6"/>
                    </w:rPr>
                    <w:t>*石油类（mg/L）</w:t>
                  </w:r>
                </w:p>
              </w:tc>
              <w:tc>
                <w:tcPr>
                  <w:tcW w:w="1050" w:type="dxa"/>
                  <w:vAlign w:val="center"/>
                </w:tcPr>
                <w:p>
                  <w:pPr>
                    <w:adjustRightInd w:val="0"/>
                    <w:snapToGrid w:val="0"/>
                    <w:jc w:val="center"/>
                    <w:rPr>
                      <w:color w:val="auto"/>
                      <w:spacing w:val="6"/>
                    </w:rPr>
                  </w:pPr>
                  <w:r>
                    <w:rPr>
                      <w:color w:val="auto"/>
                      <w:spacing w:val="6"/>
                    </w:rPr>
                    <w:t>0.01L</w:t>
                  </w:r>
                </w:p>
              </w:tc>
              <w:tc>
                <w:tcPr>
                  <w:tcW w:w="1125" w:type="dxa"/>
                  <w:vAlign w:val="center"/>
                </w:tcPr>
                <w:p>
                  <w:pPr>
                    <w:adjustRightInd w:val="0"/>
                    <w:snapToGrid w:val="0"/>
                    <w:jc w:val="center"/>
                    <w:rPr>
                      <w:color w:val="auto"/>
                      <w:spacing w:val="6"/>
                    </w:rPr>
                  </w:pPr>
                  <w:r>
                    <w:rPr>
                      <w:color w:val="auto"/>
                      <w:spacing w:val="6"/>
                    </w:rPr>
                    <w:t>0.01L</w:t>
                  </w:r>
                </w:p>
              </w:tc>
              <w:tc>
                <w:tcPr>
                  <w:tcW w:w="1110" w:type="dxa"/>
                  <w:vAlign w:val="center"/>
                </w:tcPr>
                <w:p>
                  <w:pPr>
                    <w:adjustRightInd w:val="0"/>
                    <w:snapToGrid w:val="0"/>
                    <w:jc w:val="center"/>
                    <w:rPr>
                      <w:color w:val="auto"/>
                      <w:spacing w:val="6"/>
                    </w:rPr>
                  </w:pPr>
                  <w:r>
                    <w:rPr>
                      <w:color w:val="auto"/>
                      <w:spacing w:val="6"/>
                    </w:rPr>
                    <w:t>0.01L</w:t>
                  </w:r>
                </w:p>
              </w:tc>
              <w:tc>
                <w:tcPr>
                  <w:tcW w:w="1185" w:type="dxa"/>
                  <w:vAlign w:val="center"/>
                </w:tcPr>
                <w:p>
                  <w:pPr>
                    <w:adjustRightInd w:val="0"/>
                    <w:snapToGrid w:val="0"/>
                    <w:jc w:val="center"/>
                    <w:rPr>
                      <w:color w:val="auto"/>
                      <w:spacing w:val="6"/>
                    </w:rPr>
                  </w:pPr>
                  <w:r>
                    <w:rPr>
                      <w:color w:val="auto"/>
                      <w:szCs w:val="21"/>
                    </w:rPr>
                    <w:t>/</w:t>
                  </w:r>
                </w:p>
              </w:tc>
              <w:tc>
                <w:tcPr>
                  <w:tcW w:w="930" w:type="dxa"/>
                  <w:vAlign w:val="center"/>
                </w:tcPr>
                <w:p>
                  <w:pPr>
                    <w:adjustRightInd w:val="0"/>
                    <w:snapToGrid w:val="0"/>
                    <w:jc w:val="center"/>
                    <w:rPr>
                      <w:color w:val="auto"/>
                      <w:spacing w:val="6"/>
                    </w:rPr>
                  </w:pPr>
                  <w:r>
                    <w:rPr>
                      <w:color w:val="auto"/>
                      <w:szCs w:val="21"/>
                    </w:rPr>
                    <w:t>/</w:t>
                  </w:r>
                </w:p>
              </w:tc>
              <w:tc>
                <w:tcPr>
                  <w:tcW w:w="930" w:type="dxa"/>
                  <w:vAlign w:val="center"/>
                </w:tcPr>
                <w:p>
                  <w:pPr>
                    <w:adjustRightInd w:val="0"/>
                    <w:snapToGri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restart"/>
                  <w:vAlign w:val="center"/>
                </w:tcPr>
                <w:p>
                  <w:pPr>
                    <w:adjustRightInd w:val="0"/>
                    <w:snapToGrid w:val="0"/>
                    <w:jc w:val="center"/>
                    <w:rPr>
                      <w:color w:val="auto"/>
                      <w:spacing w:val="6"/>
                    </w:rPr>
                  </w:pPr>
                  <w:r>
                    <w:rPr>
                      <w:color w:val="auto"/>
                      <w:spacing w:val="6"/>
                    </w:rPr>
                    <w:t>碱度</w:t>
                  </w:r>
                </w:p>
                <w:p>
                  <w:pPr>
                    <w:adjustRightInd w:val="0"/>
                    <w:snapToGrid w:val="0"/>
                    <w:jc w:val="center"/>
                    <w:rPr>
                      <w:color w:val="auto"/>
                      <w:spacing w:val="6"/>
                    </w:rPr>
                  </w:pPr>
                  <w:r>
                    <w:rPr>
                      <w:color w:val="auto"/>
                      <w:spacing w:val="6"/>
                    </w:rPr>
                    <w:t>（CaCO</w:t>
                  </w:r>
                  <w:r>
                    <w:rPr>
                      <w:color w:val="auto"/>
                      <w:spacing w:val="6"/>
                      <w:vertAlign w:val="subscript"/>
                    </w:rPr>
                    <w:t>3</w:t>
                  </w:r>
                  <w:r>
                    <w:rPr>
                      <w:color w:val="auto"/>
                      <w:spacing w:val="6"/>
                    </w:rPr>
                    <w:t>mg/L）</w:t>
                  </w:r>
                </w:p>
              </w:tc>
              <w:tc>
                <w:tcPr>
                  <w:tcW w:w="780" w:type="dxa"/>
                  <w:vAlign w:val="center"/>
                </w:tcPr>
                <w:p>
                  <w:pPr>
                    <w:adjustRightInd w:val="0"/>
                    <w:snapToGrid w:val="0"/>
                    <w:jc w:val="center"/>
                    <w:rPr>
                      <w:color w:val="auto"/>
                      <w:spacing w:val="6"/>
                    </w:rPr>
                  </w:pPr>
                  <w:r>
                    <w:rPr>
                      <w:color w:val="auto"/>
                      <w:spacing w:val="6"/>
                    </w:rPr>
                    <w:t>碳酸盐碱度</w:t>
                  </w:r>
                </w:p>
              </w:tc>
              <w:tc>
                <w:tcPr>
                  <w:tcW w:w="1050" w:type="dxa"/>
                  <w:vAlign w:val="center"/>
                </w:tcPr>
                <w:p>
                  <w:pPr>
                    <w:adjustRightInd w:val="0"/>
                    <w:snapToGrid w:val="0"/>
                    <w:jc w:val="center"/>
                    <w:rPr>
                      <w:color w:val="auto"/>
                      <w:spacing w:val="6"/>
                    </w:rPr>
                  </w:pPr>
                  <w:r>
                    <w:rPr>
                      <w:color w:val="auto"/>
                      <w:spacing w:val="6"/>
                    </w:rPr>
                    <w:t>0</w:t>
                  </w:r>
                </w:p>
              </w:tc>
              <w:tc>
                <w:tcPr>
                  <w:tcW w:w="1125" w:type="dxa"/>
                  <w:vAlign w:val="center"/>
                </w:tcPr>
                <w:p>
                  <w:pPr>
                    <w:adjustRightInd w:val="0"/>
                    <w:snapToGrid w:val="0"/>
                    <w:jc w:val="center"/>
                    <w:rPr>
                      <w:color w:val="auto"/>
                      <w:spacing w:val="6"/>
                    </w:rPr>
                  </w:pPr>
                  <w:r>
                    <w:rPr>
                      <w:color w:val="auto"/>
                      <w:spacing w:val="6"/>
                    </w:rPr>
                    <w:t>7</w:t>
                  </w:r>
                </w:p>
              </w:tc>
              <w:tc>
                <w:tcPr>
                  <w:tcW w:w="1110" w:type="dxa"/>
                  <w:vAlign w:val="center"/>
                </w:tcPr>
                <w:p>
                  <w:pPr>
                    <w:adjustRightInd w:val="0"/>
                    <w:snapToGrid w:val="0"/>
                    <w:jc w:val="center"/>
                    <w:rPr>
                      <w:color w:val="auto"/>
                      <w:spacing w:val="6"/>
                    </w:rPr>
                  </w:pPr>
                  <w:r>
                    <w:rPr>
                      <w:color w:val="auto"/>
                      <w:spacing w:val="6"/>
                    </w:rPr>
                    <w:t>8</w:t>
                  </w:r>
                </w:p>
              </w:tc>
              <w:tc>
                <w:tcPr>
                  <w:tcW w:w="1185" w:type="dxa"/>
                  <w:vAlign w:val="center"/>
                </w:tcPr>
                <w:p>
                  <w:pPr>
                    <w:adjustRightInd w:val="0"/>
                    <w:snapToGrid w:val="0"/>
                    <w:jc w:val="center"/>
                    <w:rPr>
                      <w:rFonts w:eastAsia="黑体"/>
                      <w:color w:val="auto"/>
                      <w:spacing w:val="6"/>
                    </w:rPr>
                  </w:pPr>
                  <w:r>
                    <w:rPr>
                      <w:color w:val="auto"/>
                      <w:szCs w:val="21"/>
                    </w:rPr>
                    <w:t>/</w:t>
                  </w:r>
                </w:p>
              </w:tc>
              <w:tc>
                <w:tcPr>
                  <w:tcW w:w="930" w:type="dxa"/>
                  <w:vAlign w:val="center"/>
                </w:tcPr>
                <w:p>
                  <w:pPr>
                    <w:adjustRightInd w:val="0"/>
                    <w:snapToGrid w:val="0"/>
                    <w:jc w:val="center"/>
                    <w:rPr>
                      <w:color w:val="auto"/>
                      <w:spacing w:val="6"/>
                    </w:rPr>
                  </w:pPr>
                  <w:r>
                    <w:rPr>
                      <w:color w:val="auto"/>
                      <w:szCs w:val="21"/>
                    </w:rPr>
                    <w:t>/</w:t>
                  </w:r>
                </w:p>
              </w:tc>
              <w:tc>
                <w:tcPr>
                  <w:tcW w:w="930" w:type="dxa"/>
                  <w:vAlign w:val="center"/>
                </w:tcPr>
                <w:p>
                  <w:pPr>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adjustRightInd w:val="0"/>
                    <w:snapToGrid w:val="0"/>
                    <w:jc w:val="center"/>
                    <w:rPr>
                      <w:color w:val="auto"/>
                      <w:spacing w:val="6"/>
                    </w:rPr>
                  </w:pPr>
                </w:p>
              </w:tc>
              <w:tc>
                <w:tcPr>
                  <w:tcW w:w="780" w:type="dxa"/>
                  <w:vAlign w:val="center"/>
                </w:tcPr>
                <w:p>
                  <w:pPr>
                    <w:adjustRightInd w:val="0"/>
                    <w:snapToGrid w:val="0"/>
                    <w:jc w:val="center"/>
                    <w:rPr>
                      <w:color w:val="auto"/>
                      <w:spacing w:val="6"/>
                    </w:rPr>
                  </w:pPr>
                  <w:r>
                    <w:rPr>
                      <w:color w:val="auto"/>
                      <w:spacing w:val="6"/>
                    </w:rPr>
                    <w:t>重碳酸盐碱度</w:t>
                  </w:r>
                </w:p>
              </w:tc>
              <w:tc>
                <w:tcPr>
                  <w:tcW w:w="1050" w:type="dxa"/>
                  <w:vAlign w:val="center"/>
                </w:tcPr>
                <w:p>
                  <w:pPr>
                    <w:adjustRightInd w:val="0"/>
                    <w:snapToGrid w:val="0"/>
                    <w:jc w:val="center"/>
                    <w:rPr>
                      <w:color w:val="auto"/>
                      <w:spacing w:val="6"/>
                    </w:rPr>
                  </w:pPr>
                  <w:r>
                    <w:rPr>
                      <w:color w:val="auto"/>
                      <w:spacing w:val="6"/>
                    </w:rPr>
                    <w:t>113</w:t>
                  </w:r>
                </w:p>
              </w:tc>
              <w:tc>
                <w:tcPr>
                  <w:tcW w:w="1125" w:type="dxa"/>
                  <w:vAlign w:val="center"/>
                </w:tcPr>
                <w:p>
                  <w:pPr>
                    <w:adjustRightInd w:val="0"/>
                    <w:snapToGrid w:val="0"/>
                    <w:jc w:val="center"/>
                    <w:rPr>
                      <w:color w:val="auto"/>
                      <w:spacing w:val="6"/>
                    </w:rPr>
                  </w:pPr>
                  <w:r>
                    <w:rPr>
                      <w:color w:val="auto"/>
                      <w:spacing w:val="6"/>
                    </w:rPr>
                    <w:t>282</w:t>
                  </w:r>
                </w:p>
              </w:tc>
              <w:tc>
                <w:tcPr>
                  <w:tcW w:w="1110" w:type="dxa"/>
                  <w:vAlign w:val="center"/>
                </w:tcPr>
                <w:p>
                  <w:pPr>
                    <w:adjustRightInd w:val="0"/>
                    <w:snapToGrid w:val="0"/>
                    <w:jc w:val="center"/>
                    <w:rPr>
                      <w:color w:val="auto"/>
                      <w:spacing w:val="6"/>
                    </w:rPr>
                  </w:pPr>
                  <w:r>
                    <w:rPr>
                      <w:color w:val="auto"/>
                      <w:spacing w:val="6"/>
                    </w:rPr>
                    <w:t>150</w:t>
                  </w:r>
                </w:p>
              </w:tc>
              <w:tc>
                <w:tcPr>
                  <w:tcW w:w="1185" w:type="dxa"/>
                  <w:vAlign w:val="center"/>
                </w:tcPr>
                <w:p>
                  <w:pPr>
                    <w:adjustRightInd w:val="0"/>
                    <w:snapToGrid w:val="0"/>
                    <w:jc w:val="center"/>
                    <w:rPr>
                      <w:rFonts w:eastAsia="黑体"/>
                      <w:color w:val="auto"/>
                      <w:spacing w:val="6"/>
                    </w:rPr>
                  </w:pPr>
                  <w:r>
                    <w:rPr>
                      <w:color w:val="auto"/>
                      <w:szCs w:val="21"/>
                    </w:rPr>
                    <w:t>/</w:t>
                  </w:r>
                </w:p>
              </w:tc>
              <w:tc>
                <w:tcPr>
                  <w:tcW w:w="930" w:type="dxa"/>
                  <w:vAlign w:val="center"/>
                </w:tcPr>
                <w:p>
                  <w:pPr>
                    <w:adjustRightInd w:val="0"/>
                    <w:snapToGrid w:val="0"/>
                    <w:jc w:val="center"/>
                    <w:rPr>
                      <w:color w:val="auto"/>
                      <w:spacing w:val="6"/>
                    </w:rPr>
                  </w:pPr>
                  <w:r>
                    <w:rPr>
                      <w:color w:val="auto"/>
                      <w:szCs w:val="21"/>
                    </w:rPr>
                    <w:t>/</w:t>
                  </w:r>
                </w:p>
              </w:tc>
              <w:tc>
                <w:tcPr>
                  <w:tcW w:w="930" w:type="dxa"/>
                  <w:vAlign w:val="center"/>
                </w:tcPr>
                <w:p>
                  <w:pPr>
                    <w:adjustRightInd w:val="0"/>
                    <w:snapToGrid w:val="0"/>
                    <w:jc w:val="center"/>
                    <w:rPr>
                      <w:color w:val="auto"/>
                      <w:szCs w:val="21"/>
                    </w:rPr>
                  </w:pPr>
                </w:p>
              </w:tc>
            </w:tr>
          </w:tbl>
          <w:p>
            <w:pPr>
              <w:spacing w:line="360" w:lineRule="auto"/>
              <w:ind w:firstLine="420" w:firstLineChars="200"/>
              <w:rPr>
                <w:color w:val="auto"/>
              </w:rPr>
            </w:pPr>
            <w:r>
              <w:rPr>
                <w:color w:val="auto"/>
              </w:rPr>
              <w:t>注：“</w:t>
            </w:r>
            <w:r>
              <w:rPr>
                <w:rFonts w:hint="eastAsia"/>
                <w:color w:val="auto"/>
              </w:rPr>
              <w:t>L</w:t>
            </w:r>
            <w:r>
              <w:rPr>
                <w:color w:val="auto"/>
              </w:rPr>
              <w:t>”表示未检出。</w:t>
            </w:r>
          </w:p>
          <w:p>
            <w:pPr>
              <w:pStyle w:val="11"/>
              <w:spacing w:line="360" w:lineRule="auto"/>
              <w:ind w:firstLine="480" w:firstLineChars="200"/>
              <w:rPr>
                <w:color w:val="auto"/>
              </w:rPr>
            </w:pPr>
            <w:r>
              <w:rPr>
                <w:rFonts w:hint="eastAsia"/>
                <w:color w:val="auto"/>
              </w:rPr>
              <w:t>监测结果表明，区域地下水硫化物、氯化物、总硬度、溶解性总固体超标，其余各项监测指标符合《地下水质量标准》（GB/T14848-2017）中Ⅲ类标准要求。</w:t>
            </w:r>
          </w:p>
          <w:p>
            <w:pPr>
              <w:pStyle w:val="11"/>
              <w:spacing w:line="360" w:lineRule="auto"/>
              <w:ind w:firstLine="480" w:firstLineChars="200"/>
              <w:rPr>
                <w:color w:val="auto"/>
              </w:rPr>
            </w:pPr>
            <w:r>
              <w:rPr>
                <w:rFonts w:hint="eastAsia"/>
                <w:color w:val="auto"/>
              </w:rPr>
              <w:t>根据2011年3月西安市地质矿产研究所编制的《榆林市定边县地下水勘察报告》以及收集的区域地下水监测资料可知，定边县地下水水质复杂，多为氯化钙、氟化钙型，矿化度较高，属咸水或苦咸水，超标原因与评价区域水文地质因素有关。</w:t>
            </w:r>
          </w:p>
          <w:p>
            <w:pPr>
              <w:spacing w:line="360" w:lineRule="auto"/>
              <w:ind w:firstLine="482"/>
              <w:jc w:val="left"/>
              <w:rPr>
                <w:color w:val="auto"/>
                <w:sz w:val="24"/>
              </w:rPr>
            </w:pPr>
            <w:r>
              <w:rPr>
                <w:rFonts w:hint="eastAsia"/>
                <w:b/>
                <w:color w:val="auto"/>
                <w:sz w:val="24"/>
              </w:rPr>
              <w:t>3</w:t>
            </w:r>
            <w:r>
              <w:rPr>
                <w:b/>
                <w:color w:val="auto"/>
                <w:sz w:val="24"/>
              </w:rPr>
              <w:t>、</w:t>
            </w:r>
            <w:r>
              <w:rPr>
                <w:rFonts w:hint="eastAsia"/>
                <w:b/>
                <w:color w:val="auto"/>
                <w:sz w:val="24"/>
              </w:rPr>
              <w:t>土壤环境</w:t>
            </w:r>
          </w:p>
          <w:p>
            <w:pPr>
              <w:spacing w:line="360" w:lineRule="auto"/>
              <w:ind w:firstLine="480" w:firstLineChars="200"/>
              <w:rPr>
                <w:color w:val="auto"/>
              </w:rPr>
            </w:pPr>
            <w:r>
              <w:rPr>
                <w:color w:val="auto"/>
                <w:sz w:val="24"/>
              </w:rPr>
              <w:t>⑴ 监测点位</w:t>
            </w:r>
          </w:p>
          <w:p>
            <w:pPr>
              <w:spacing w:line="360" w:lineRule="auto"/>
              <w:ind w:firstLine="480" w:firstLineChars="200"/>
              <w:rPr>
                <w:color w:val="auto"/>
                <w:sz w:val="24"/>
              </w:rPr>
            </w:pPr>
            <w:r>
              <w:rPr>
                <w:rFonts w:hint="eastAsia" w:hAnsi="宋体"/>
                <w:bCs/>
                <w:color w:val="auto"/>
                <w:sz w:val="24"/>
              </w:rPr>
              <w:t>3个站场内各布设1个共3个土壤环境质量监测点</w:t>
            </w:r>
            <w:r>
              <w:rPr>
                <w:color w:val="auto"/>
                <w:sz w:val="24"/>
              </w:rPr>
              <w:t>，</w:t>
            </w:r>
            <w:r>
              <w:rPr>
                <w:rFonts w:hint="eastAsia" w:hAnsi="宋体"/>
                <w:bCs/>
                <w:color w:val="auto"/>
                <w:sz w:val="24"/>
              </w:rPr>
              <w:t>监测点均为表层样，</w:t>
            </w:r>
            <w:r>
              <w:rPr>
                <w:color w:val="auto"/>
                <w:sz w:val="24"/>
              </w:rPr>
              <w:t>具体</w:t>
            </w:r>
            <w:r>
              <w:rPr>
                <w:rFonts w:hint="eastAsia"/>
                <w:color w:val="auto"/>
                <w:sz w:val="24"/>
              </w:rPr>
              <w:t>土壤监测点位</w:t>
            </w:r>
            <w:r>
              <w:rPr>
                <w:color w:val="auto"/>
                <w:sz w:val="24"/>
              </w:rPr>
              <w:t>信息</w:t>
            </w:r>
            <w:r>
              <w:rPr>
                <w:rFonts w:hint="eastAsia"/>
                <w:color w:val="auto"/>
                <w:sz w:val="24"/>
              </w:rPr>
              <w:t>和</w:t>
            </w:r>
            <w:r>
              <w:rPr>
                <w:color w:val="auto"/>
                <w:sz w:val="24"/>
              </w:rPr>
              <w:t>见表</w:t>
            </w:r>
            <w:r>
              <w:rPr>
                <w:rFonts w:hint="eastAsia"/>
                <w:color w:val="auto"/>
                <w:sz w:val="24"/>
              </w:rPr>
              <w:t>3-6</w:t>
            </w:r>
            <w:r>
              <w:rPr>
                <w:color w:val="auto"/>
                <w:sz w:val="24"/>
              </w:rPr>
              <w:t>。</w:t>
            </w:r>
          </w:p>
          <w:p>
            <w:pPr>
              <w:adjustRightInd w:val="0"/>
              <w:snapToGrid w:val="0"/>
              <w:spacing w:line="360" w:lineRule="auto"/>
              <w:ind w:firstLine="420" w:firstLineChars="200"/>
              <w:jc w:val="center"/>
              <w:rPr>
                <w:rFonts w:ascii="黑体" w:hAnsi="黑体" w:eastAsia="黑体" w:cs="黑体"/>
                <w:bCs/>
                <w:color w:val="auto"/>
                <w:szCs w:val="22"/>
              </w:rPr>
            </w:pPr>
            <w:r>
              <w:rPr>
                <w:rFonts w:hint="eastAsia" w:ascii="黑体" w:hAnsi="黑体" w:eastAsia="黑体" w:cs="黑体"/>
                <w:bCs/>
                <w:color w:val="auto"/>
                <w:szCs w:val="22"/>
              </w:rPr>
              <w:t>表3-6  项目土壤环境现状监测点位信息表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8"/>
              <w:gridCol w:w="3015"/>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818" w:type="dxa"/>
                  <w:vMerge w:val="restart"/>
                  <w:tcBorders>
                    <w:top w:val="single" w:color="auto" w:sz="4" w:space="0"/>
                    <w:left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监测点位</w:t>
                  </w:r>
                </w:p>
              </w:tc>
              <w:tc>
                <w:tcPr>
                  <w:tcW w:w="5301" w:type="dxa"/>
                  <w:gridSpan w:val="2"/>
                  <w:tcBorders>
                    <w:top w:val="single" w:color="auto" w:sz="4" w:space="0"/>
                    <w:left w:val="nil"/>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818" w:type="dxa"/>
                  <w:vMerge w:val="continue"/>
                  <w:tcBorders>
                    <w:left w:val="single" w:color="auto" w:sz="4" w:space="0"/>
                    <w:bottom w:val="single" w:color="auto" w:sz="4" w:space="0"/>
                    <w:right w:val="single" w:color="auto" w:sz="4" w:space="0"/>
                  </w:tcBorders>
                  <w:vAlign w:val="center"/>
                </w:tcPr>
                <w:p>
                  <w:pPr>
                    <w:adjustRightInd w:val="0"/>
                    <w:snapToGrid w:val="0"/>
                    <w:jc w:val="center"/>
                    <w:rPr>
                      <w:color w:val="auto"/>
                    </w:rPr>
                  </w:pPr>
                </w:p>
              </w:tc>
              <w:tc>
                <w:tcPr>
                  <w:tcW w:w="3015" w:type="dxa"/>
                  <w:tcBorders>
                    <w:top w:val="single" w:color="auto" w:sz="4" w:space="0"/>
                    <w:left w:val="nil"/>
                    <w:bottom w:val="single" w:color="auto" w:sz="4" w:space="0"/>
                    <w:right w:val="single" w:color="auto" w:sz="4" w:space="0"/>
                  </w:tcBorders>
                  <w:vAlign w:val="center"/>
                </w:tcPr>
                <w:p>
                  <w:pPr>
                    <w:snapToGrid w:val="0"/>
                    <w:jc w:val="center"/>
                    <w:rPr>
                      <w:color w:val="auto"/>
                      <w:szCs w:val="21"/>
                    </w:rPr>
                  </w:pPr>
                  <w:r>
                    <w:rPr>
                      <w:rFonts w:hint="eastAsia"/>
                      <w:color w:val="auto"/>
                      <w:szCs w:val="21"/>
                    </w:rPr>
                    <w:t>经度</w:t>
                  </w:r>
                </w:p>
              </w:tc>
              <w:tc>
                <w:tcPr>
                  <w:tcW w:w="2286" w:type="dxa"/>
                  <w:tcBorders>
                    <w:top w:val="single" w:color="auto" w:sz="4" w:space="0"/>
                    <w:left w:val="nil"/>
                    <w:right w:val="single" w:color="auto" w:sz="4" w:space="0"/>
                  </w:tcBorders>
                  <w:vAlign w:val="center"/>
                </w:tcPr>
                <w:p>
                  <w:pPr>
                    <w:snapToGrid w:val="0"/>
                    <w:jc w:val="center"/>
                    <w:rPr>
                      <w:color w:val="auto"/>
                      <w:szCs w:val="21"/>
                    </w:rPr>
                  </w:pPr>
                  <w:r>
                    <w:rPr>
                      <w:rFonts w:hint="eastAsia"/>
                      <w:color w:val="auto"/>
                      <w:szCs w:val="21"/>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818" w:type="dxa"/>
                  <w:tcBorders>
                    <w:top w:val="single" w:color="auto" w:sz="4" w:space="0"/>
                    <w:left w:val="single" w:color="auto" w:sz="4" w:space="0"/>
                    <w:right w:val="single" w:color="auto" w:sz="4" w:space="0"/>
                  </w:tcBorders>
                  <w:vAlign w:val="center"/>
                </w:tcPr>
                <w:p>
                  <w:pPr>
                    <w:snapToGrid w:val="0"/>
                    <w:jc w:val="center"/>
                    <w:rPr>
                      <w:rFonts w:ascii="Calibri" w:hAnsi="Calibri"/>
                      <w:color w:val="auto"/>
                      <w:szCs w:val="21"/>
                    </w:rPr>
                  </w:pPr>
                  <w:r>
                    <w:rPr>
                      <w:rFonts w:hint="eastAsia" w:ascii="Calibri" w:hAnsi="Calibri"/>
                      <w:color w:val="auto"/>
                      <w:szCs w:val="21"/>
                    </w:rPr>
                    <w:t>2511站场</w:t>
                  </w:r>
                </w:p>
              </w:tc>
              <w:tc>
                <w:tcPr>
                  <w:tcW w:w="3015" w:type="dxa"/>
                  <w:tcBorders>
                    <w:top w:val="single" w:color="auto" w:sz="4" w:space="0"/>
                    <w:left w:val="nil"/>
                    <w:bottom w:val="single" w:color="auto" w:sz="4" w:space="0"/>
                    <w:right w:val="single" w:color="auto" w:sz="4" w:space="0"/>
                  </w:tcBorders>
                  <w:vAlign w:val="center"/>
                </w:tcPr>
                <w:p>
                  <w:pPr>
                    <w:snapToGrid w:val="0"/>
                    <w:jc w:val="center"/>
                    <w:rPr>
                      <w:color w:val="auto"/>
                      <w:szCs w:val="21"/>
                    </w:rPr>
                  </w:pPr>
                  <w:r>
                    <w:rPr>
                      <w:rFonts w:hint="eastAsia"/>
                      <w:color w:val="auto"/>
                      <w:szCs w:val="21"/>
                    </w:rPr>
                    <w:t>107.8225</w:t>
                  </w:r>
                </w:p>
              </w:tc>
              <w:tc>
                <w:tcPr>
                  <w:tcW w:w="2286" w:type="dxa"/>
                  <w:tcBorders>
                    <w:top w:val="single" w:color="auto" w:sz="4" w:space="0"/>
                    <w:left w:val="nil"/>
                    <w:bottom w:val="single" w:color="auto" w:sz="4" w:space="0"/>
                    <w:right w:val="single" w:color="auto" w:sz="4" w:space="0"/>
                  </w:tcBorders>
                  <w:vAlign w:val="center"/>
                </w:tcPr>
                <w:p>
                  <w:pPr>
                    <w:snapToGrid w:val="0"/>
                    <w:jc w:val="center"/>
                    <w:rPr>
                      <w:color w:val="auto"/>
                      <w:szCs w:val="21"/>
                    </w:rPr>
                  </w:pPr>
                  <w:r>
                    <w:rPr>
                      <w:rFonts w:hint="eastAsia"/>
                      <w:color w:val="auto"/>
                      <w:szCs w:val="21"/>
                    </w:rPr>
                    <w:t>37.3848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818" w:type="dxa"/>
                  <w:tcBorders>
                    <w:left w:val="single" w:color="auto" w:sz="4" w:space="0"/>
                    <w:right w:val="single" w:color="auto" w:sz="4" w:space="0"/>
                  </w:tcBorders>
                  <w:vAlign w:val="center"/>
                </w:tcPr>
                <w:p>
                  <w:pPr>
                    <w:snapToGrid w:val="0"/>
                    <w:jc w:val="center"/>
                    <w:rPr>
                      <w:rFonts w:ascii="Calibri" w:hAnsi="Calibri"/>
                      <w:color w:val="auto"/>
                      <w:szCs w:val="21"/>
                    </w:rPr>
                  </w:pPr>
                  <w:r>
                    <w:rPr>
                      <w:rFonts w:hint="eastAsia" w:ascii="Calibri" w:hAnsi="Calibri"/>
                      <w:color w:val="auto"/>
                      <w:szCs w:val="21"/>
                    </w:rPr>
                    <w:t>3270站场</w:t>
                  </w:r>
                </w:p>
              </w:tc>
              <w:tc>
                <w:tcPr>
                  <w:tcW w:w="3015" w:type="dxa"/>
                  <w:tcBorders>
                    <w:top w:val="single" w:color="auto" w:sz="4" w:space="0"/>
                    <w:left w:val="nil"/>
                    <w:bottom w:val="single" w:color="auto" w:sz="4" w:space="0"/>
                    <w:right w:val="single" w:color="auto" w:sz="4" w:space="0"/>
                  </w:tcBorders>
                  <w:vAlign w:val="center"/>
                </w:tcPr>
                <w:p>
                  <w:pPr>
                    <w:snapToGrid w:val="0"/>
                    <w:jc w:val="center"/>
                    <w:rPr>
                      <w:color w:val="auto"/>
                      <w:szCs w:val="21"/>
                    </w:rPr>
                  </w:pPr>
                  <w:r>
                    <w:rPr>
                      <w:rFonts w:hint="eastAsia"/>
                      <w:color w:val="auto"/>
                      <w:szCs w:val="21"/>
                    </w:rPr>
                    <w:t>107.5160</w:t>
                  </w:r>
                </w:p>
              </w:tc>
              <w:tc>
                <w:tcPr>
                  <w:tcW w:w="2286" w:type="dxa"/>
                  <w:tcBorders>
                    <w:top w:val="single" w:color="auto" w:sz="4" w:space="0"/>
                    <w:left w:val="nil"/>
                    <w:bottom w:val="single" w:color="auto" w:sz="4" w:space="0"/>
                    <w:right w:val="single" w:color="auto" w:sz="4" w:space="0"/>
                  </w:tcBorders>
                  <w:vAlign w:val="center"/>
                </w:tcPr>
                <w:p>
                  <w:pPr>
                    <w:snapToGrid w:val="0"/>
                    <w:jc w:val="center"/>
                    <w:rPr>
                      <w:color w:val="auto"/>
                      <w:szCs w:val="21"/>
                    </w:rPr>
                  </w:pPr>
                  <w:r>
                    <w:rPr>
                      <w:rFonts w:hint="eastAsia"/>
                      <w:color w:val="auto"/>
                      <w:szCs w:val="21"/>
                    </w:rPr>
                    <w:t>37.4409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818" w:type="dxa"/>
                  <w:tcBorders>
                    <w:left w:val="single" w:color="auto" w:sz="4" w:space="0"/>
                    <w:bottom w:val="single" w:color="auto" w:sz="4" w:space="0"/>
                    <w:right w:val="single" w:color="auto" w:sz="4" w:space="0"/>
                  </w:tcBorders>
                  <w:vAlign w:val="center"/>
                </w:tcPr>
                <w:p>
                  <w:pPr>
                    <w:snapToGrid w:val="0"/>
                    <w:jc w:val="center"/>
                    <w:rPr>
                      <w:rFonts w:ascii="Calibri" w:hAnsi="Calibri"/>
                      <w:color w:val="auto"/>
                      <w:szCs w:val="21"/>
                    </w:rPr>
                  </w:pPr>
                  <w:r>
                    <w:rPr>
                      <w:rFonts w:hint="eastAsia" w:ascii="Calibri" w:hAnsi="Calibri"/>
                      <w:color w:val="auto"/>
                      <w:szCs w:val="21"/>
                    </w:rPr>
                    <w:t>4926-4站场</w:t>
                  </w:r>
                </w:p>
              </w:tc>
              <w:tc>
                <w:tcPr>
                  <w:tcW w:w="3015" w:type="dxa"/>
                  <w:tcBorders>
                    <w:top w:val="single" w:color="auto" w:sz="4" w:space="0"/>
                    <w:left w:val="nil"/>
                    <w:bottom w:val="single" w:color="auto" w:sz="4" w:space="0"/>
                    <w:right w:val="single" w:color="auto" w:sz="4" w:space="0"/>
                  </w:tcBorders>
                  <w:vAlign w:val="center"/>
                </w:tcPr>
                <w:p>
                  <w:pPr>
                    <w:snapToGrid w:val="0"/>
                    <w:jc w:val="center"/>
                    <w:rPr>
                      <w:color w:val="auto"/>
                      <w:szCs w:val="21"/>
                    </w:rPr>
                  </w:pPr>
                  <w:r>
                    <w:rPr>
                      <w:rFonts w:hint="eastAsia"/>
                      <w:color w:val="auto"/>
                      <w:szCs w:val="21"/>
                    </w:rPr>
                    <w:t>107.6221</w:t>
                  </w:r>
                </w:p>
              </w:tc>
              <w:tc>
                <w:tcPr>
                  <w:tcW w:w="2286" w:type="dxa"/>
                  <w:tcBorders>
                    <w:top w:val="single" w:color="auto" w:sz="4" w:space="0"/>
                    <w:left w:val="nil"/>
                    <w:bottom w:val="single" w:color="auto" w:sz="4" w:space="0"/>
                    <w:right w:val="single" w:color="auto" w:sz="4" w:space="0"/>
                  </w:tcBorders>
                  <w:vAlign w:val="center"/>
                </w:tcPr>
                <w:p>
                  <w:pPr>
                    <w:snapToGrid w:val="0"/>
                    <w:jc w:val="center"/>
                    <w:rPr>
                      <w:color w:val="auto"/>
                      <w:szCs w:val="21"/>
                    </w:rPr>
                  </w:pPr>
                  <w:r>
                    <w:rPr>
                      <w:rFonts w:hint="eastAsia"/>
                      <w:color w:val="auto"/>
                      <w:szCs w:val="21"/>
                    </w:rPr>
                    <w:t>36.9558</w:t>
                  </w:r>
                </w:p>
              </w:tc>
            </w:tr>
          </w:tbl>
          <w:p>
            <w:pPr>
              <w:spacing w:line="360" w:lineRule="auto"/>
              <w:ind w:firstLine="480" w:firstLineChars="200"/>
              <w:rPr>
                <w:color w:val="auto"/>
              </w:rPr>
            </w:pPr>
            <w:r>
              <w:rPr>
                <w:color w:val="auto"/>
                <w:sz w:val="24"/>
              </w:rPr>
              <w:t>⑵ 监测因子</w:t>
            </w:r>
          </w:p>
          <w:p>
            <w:pPr>
              <w:spacing w:line="360" w:lineRule="auto"/>
              <w:ind w:firstLine="480" w:firstLineChars="200"/>
              <w:rPr>
                <w:color w:val="auto"/>
                <w:sz w:val="24"/>
              </w:rPr>
            </w:pPr>
            <w:r>
              <w:rPr>
                <w:rFonts w:hint="eastAsia"/>
                <w:color w:val="auto"/>
                <w:sz w:val="24"/>
              </w:rPr>
              <w:t>pH、石油烃</w:t>
            </w:r>
            <w:r>
              <w:rPr>
                <w:color w:val="auto"/>
                <w:sz w:val="24"/>
              </w:rPr>
              <w:t>共</w:t>
            </w:r>
            <w:r>
              <w:rPr>
                <w:rFonts w:hint="eastAsia"/>
                <w:color w:val="auto"/>
                <w:sz w:val="24"/>
              </w:rPr>
              <w:t>2</w:t>
            </w:r>
            <w:r>
              <w:rPr>
                <w:color w:val="auto"/>
                <w:sz w:val="24"/>
              </w:rPr>
              <w:t>项。</w:t>
            </w:r>
          </w:p>
          <w:p>
            <w:pPr>
              <w:spacing w:line="360" w:lineRule="auto"/>
              <w:ind w:firstLine="480" w:firstLineChars="200"/>
              <w:rPr>
                <w:color w:val="auto"/>
              </w:rPr>
            </w:pPr>
            <w:r>
              <w:rPr>
                <w:color w:val="auto"/>
                <w:sz w:val="24"/>
              </w:rPr>
              <w:t>⑶ 监测时间及方法</w:t>
            </w:r>
          </w:p>
          <w:p>
            <w:pPr>
              <w:spacing w:line="360" w:lineRule="auto"/>
              <w:ind w:firstLine="480" w:firstLineChars="200"/>
              <w:rPr>
                <w:color w:val="auto"/>
                <w:sz w:val="24"/>
              </w:rPr>
            </w:pPr>
            <w:r>
              <w:rPr>
                <w:rFonts w:hint="eastAsia"/>
                <w:color w:val="auto"/>
                <w:sz w:val="24"/>
              </w:rPr>
              <w:t>中检西北生态技术（陕西）</w:t>
            </w:r>
            <w:r>
              <w:rPr>
                <w:color w:val="auto"/>
                <w:sz w:val="24"/>
              </w:rPr>
              <w:t>有限公司</w:t>
            </w:r>
            <w:r>
              <w:rPr>
                <w:color w:val="auto"/>
                <w:sz w:val="24"/>
                <w:lang w:val="zh-CN"/>
              </w:rPr>
              <w:t>于20</w:t>
            </w:r>
            <w:r>
              <w:rPr>
                <w:color w:val="auto"/>
                <w:sz w:val="24"/>
              </w:rPr>
              <w:t>2</w:t>
            </w:r>
            <w:r>
              <w:rPr>
                <w:rFonts w:hint="eastAsia"/>
                <w:color w:val="auto"/>
                <w:sz w:val="24"/>
              </w:rPr>
              <w:t>3</w:t>
            </w:r>
            <w:r>
              <w:rPr>
                <w:color w:val="auto"/>
                <w:sz w:val="24"/>
                <w:lang w:val="zh-CN"/>
              </w:rPr>
              <w:t>年</w:t>
            </w:r>
            <w:r>
              <w:rPr>
                <w:rFonts w:hint="eastAsia"/>
                <w:color w:val="auto"/>
                <w:sz w:val="24"/>
              </w:rPr>
              <w:t>9</w:t>
            </w:r>
            <w:r>
              <w:rPr>
                <w:color w:val="auto"/>
                <w:sz w:val="24"/>
                <w:lang w:val="zh-CN"/>
              </w:rPr>
              <w:t>月</w:t>
            </w:r>
            <w:r>
              <w:rPr>
                <w:rFonts w:hint="eastAsia"/>
                <w:color w:val="auto"/>
                <w:sz w:val="24"/>
              </w:rPr>
              <w:t>11</w:t>
            </w:r>
            <w:r>
              <w:rPr>
                <w:color w:val="auto"/>
                <w:sz w:val="24"/>
                <w:lang w:val="zh-CN"/>
              </w:rPr>
              <w:t>日对项目所在地土壤进行</w:t>
            </w:r>
            <w:r>
              <w:rPr>
                <w:rFonts w:hint="eastAsia"/>
                <w:color w:val="auto"/>
                <w:sz w:val="24"/>
                <w:lang w:val="zh-CN"/>
              </w:rPr>
              <w:t>了</w:t>
            </w:r>
            <w:r>
              <w:rPr>
                <w:color w:val="auto"/>
                <w:sz w:val="24"/>
                <w:lang w:val="zh-CN"/>
              </w:rPr>
              <w:t>采样</w:t>
            </w:r>
            <w:r>
              <w:rPr>
                <w:color w:val="auto"/>
                <w:sz w:val="24"/>
              </w:rPr>
              <w:t>监测。监测项目分析方法见表</w:t>
            </w:r>
            <w:r>
              <w:rPr>
                <w:rFonts w:hint="eastAsia"/>
                <w:color w:val="auto"/>
                <w:sz w:val="24"/>
              </w:rPr>
              <w:t>3-7</w:t>
            </w:r>
            <w:r>
              <w:rPr>
                <w:color w:val="auto"/>
                <w:sz w:val="24"/>
              </w:rPr>
              <w:t>。</w:t>
            </w:r>
          </w:p>
          <w:p>
            <w:pPr>
              <w:adjustRightInd w:val="0"/>
              <w:snapToGrid w:val="0"/>
              <w:spacing w:line="360" w:lineRule="auto"/>
              <w:ind w:firstLine="420" w:firstLineChars="200"/>
              <w:jc w:val="center"/>
              <w:rPr>
                <w:rFonts w:ascii="黑体" w:hAnsi="黑体" w:eastAsia="黑体" w:cs="黑体"/>
                <w:bCs/>
                <w:color w:val="auto"/>
                <w:szCs w:val="22"/>
              </w:rPr>
            </w:pPr>
            <w:r>
              <w:rPr>
                <w:rFonts w:hint="eastAsia" w:ascii="黑体" w:hAnsi="黑体" w:eastAsia="黑体" w:cs="黑体"/>
                <w:bCs/>
                <w:color w:val="auto"/>
                <w:szCs w:val="22"/>
              </w:rPr>
              <w:t>表3-7  土壤环境质量监测项目分析方法</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3592"/>
              <w:gridCol w:w="2063"/>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blHeader/>
                <w:jc w:val="center"/>
              </w:trPr>
              <w:tc>
                <w:tcPr>
                  <w:tcW w:w="1361" w:type="dxa"/>
                  <w:tcBorders>
                    <w:tl2br w:val="nil"/>
                    <w:tr2bl w:val="nil"/>
                  </w:tcBorders>
                  <w:vAlign w:val="center"/>
                </w:tcPr>
                <w:p>
                  <w:pPr>
                    <w:jc w:val="center"/>
                    <w:rPr>
                      <w:color w:val="auto"/>
                      <w:szCs w:val="21"/>
                    </w:rPr>
                  </w:pPr>
                  <w:r>
                    <w:rPr>
                      <w:color w:val="auto"/>
                      <w:szCs w:val="21"/>
                    </w:rPr>
                    <w:t>监测项目</w:t>
                  </w:r>
                </w:p>
              </w:tc>
              <w:tc>
                <w:tcPr>
                  <w:tcW w:w="3592" w:type="dxa"/>
                  <w:tcBorders>
                    <w:tl2br w:val="nil"/>
                    <w:tr2bl w:val="nil"/>
                  </w:tcBorders>
                  <w:vAlign w:val="center"/>
                </w:tcPr>
                <w:p>
                  <w:pPr>
                    <w:jc w:val="center"/>
                    <w:rPr>
                      <w:color w:val="auto"/>
                      <w:szCs w:val="21"/>
                    </w:rPr>
                  </w:pPr>
                  <w:r>
                    <w:rPr>
                      <w:color w:val="auto"/>
                      <w:szCs w:val="21"/>
                    </w:rPr>
                    <w:t>分析方法/依据</w:t>
                  </w:r>
                </w:p>
              </w:tc>
              <w:tc>
                <w:tcPr>
                  <w:tcW w:w="2063" w:type="dxa"/>
                  <w:tcBorders>
                    <w:tl2br w:val="nil"/>
                    <w:tr2bl w:val="nil"/>
                  </w:tcBorders>
                  <w:vAlign w:val="center"/>
                </w:tcPr>
                <w:p>
                  <w:pPr>
                    <w:jc w:val="center"/>
                    <w:rPr>
                      <w:color w:val="auto"/>
                      <w:szCs w:val="21"/>
                    </w:rPr>
                  </w:pPr>
                  <w:r>
                    <w:rPr>
                      <w:color w:val="auto"/>
                      <w:szCs w:val="21"/>
                    </w:rPr>
                    <w:t>仪器型号/名称/编号</w:t>
                  </w:r>
                </w:p>
              </w:tc>
              <w:tc>
                <w:tcPr>
                  <w:tcW w:w="1024" w:type="dxa"/>
                  <w:tcBorders>
                    <w:tl2br w:val="nil"/>
                    <w:tr2bl w:val="nil"/>
                  </w:tcBorders>
                  <w:vAlign w:val="center"/>
                </w:tcPr>
                <w:p>
                  <w:pPr>
                    <w:jc w:val="center"/>
                    <w:rPr>
                      <w:color w:val="auto"/>
                      <w:szCs w:val="21"/>
                    </w:rPr>
                  </w:pPr>
                  <w:r>
                    <w:rPr>
                      <w:color w:val="auto"/>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61" w:type="dxa"/>
                  <w:tcBorders>
                    <w:tl2br w:val="nil"/>
                    <w:tr2bl w:val="nil"/>
                  </w:tcBorders>
                  <w:vAlign w:val="center"/>
                </w:tcPr>
                <w:p>
                  <w:pPr>
                    <w:jc w:val="center"/>
                    <w:rPr>
                      <w:color w:val="auto"/>
                      <w:szCs w:val="21"/>
                    </w:rPr>
                  </w:pPr>
                  <w:r>
                    <w:rPr>
                      <w:color w:val="auto"/>
                      <w:szCs w:val="21"/>
                    </w:rPr>
                    <w:t>pH</w:t>
                  </w:r>
                </w:p>
              </w:tc>
              <w:tc>
                <w:tcPr>
                  <w:tcW w:w="3592" w:type="dxa"/>
                  <w:tcBorders>
                    <w:tl2br w:val="nil"/>
                    <w:tr2bl w:val="nil"/>
                  </w:tcBorders>
                  <w:vAlign w:val="center"/>
                </w:tcPr>
                <w:p>
                  <w:pPr>
                    <w:jc w:val="center"/>
                    <w:rPr>
                      <w:color w:val="auto"/>
                      <w:szCs w:val="21"/>
                    </w:rPr>
                  </w:pPr>
                  <w:r>
                    <w:rPr>
                      <w:color w:val="auto"/>
                      <w:szCs w:val="21"/>
                    </w:rPr>
                    <w:t>土壤pH的测定</w:t>
                  </w:r>
                  <w:r>
                    <w:rPr>
                      <w:rFonts w:hint="eastAsia"/>
                      <w:color w:val="auto"/>
                      <w:szCs w:val="21"/>
                    </w:rPr>
                    <w:t xml:space="preserve"> 电位法HJ962</w:t>
                  </w:r>
                  <w:r>
                    <w:rPr>
                      <w:color w:val="auto"/>
                      <w:szCs w:val="21"/>
                    </w:rPr>
                    <w:t>-20</w:t>
                  </w:r>
                  <w:r>
                    <w:rPr>
                      <w:rFonts w:hint="eastAsia"/>
                      <w:color w:val="auto"/>
                      <w:szCs w:val="21"/>
                    </w:rPr>
                    <w:t>18</w:t>
                  </w:r>
                </w:p>
              </w:tc>
              <w:tc>
                <w:tcPr>
                  <w:tcW w:w="2063" w:type="dxa"/>
                  <w:tcBorders>
                    <w:tl2br w:val="nil"/>
                    <w:tr2bl w:val="nil"/>
                  </w:tcBorders>
                  <w:vAlign w:val="center"/>
                </w:tcPr>
                <w:p>
                  <w:pPr>
                    <w:jc w:val="center"/>
                    <w:rPr>
                      <w:color w:val="auto"/>
                      <w:szCs w:val="21"/>
                    </w:rPr>
                  </w:pPr>
                  <w:r>
                    <w:rPr>
                      <w:rFonts w:hint="eastAsia"/>
                      <w:color w:val="auto"/>
                      <w:szCs w:val="21"/>
                    </w:rPr>
                    <w:t>电子天平ZJYQ-487</w:t>
                  </w:r>
                </w:p>
                <w:p>
                  <w:pPr>
                    <w:jc w:val="center"/>
                    <w:rPr>
                      <w:color w:val="auto"/>
                      <w:szCs w:val="21"/>
                    </w:rPr>
                  </w:pPr>
                  <w:r>
                    <w:rPr>
                      <w:rFonts w:hint="eastAsia"/>
                      <w:color w:val="auto"/>
                      <w:szCs w:val="21"/>
                    </w:rPr>
                    <w:t>气象色谱仪ZJYQ-578</w:t>
                  </w:r>
                </w:p>
              </w:tc>
              <w:tc>
                <w:tcPr>
                  <w:tcW w:w="1024" w:type="dxa"/>
                  <w:tcBorders>
                    <w:tl2br w:val="nil"/>
                    <w:tr2bl w:val="nil"/>
                  </w:tcBorders>
                  <w:vAlign w:val="center"/>
                </w:tcPr>
                <w:p>
                  <w:pPr>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361" w:type="dxa"/>
                  <w:tcBorders>
                    <w:tl2br w:val="nil"/>
                    <w:tr2bl w:val="nil"/>
                  </w:tcBorders>
                  <w:vAlign w:val="center"/>
                </w:tcPr>
                <w:p>
                  <w:pPr>
                    <w:jc w:val="center"/>
                    <w:rPr>
                      <w:color w:val="auto"/>
                      <w:szCs w:val="21"/>
                    </w:rPr>
                  </w:pPr>
                  <w:r>
                    <w:rPr>
                      <w:color w:val="auto"/>
                      <w:szCs w:val="21"/>
                    </w:rPr>
                    <w:t>石油烃</w:t>
                  </w:r>
                  <w:r>
                    <w:rPr>
                      <w:rFonts w:hint="eastAsia"/>
                      <w:color w:val="auto"/>
                      <w:szCs w:val="21"/>
                    </w:rPr>
                    <w:t>（</w:t>
                  </w:r>
                  <w:r>
                    <w:rPr>
                      <w:color w:val="auto"/>
                      <w:szCs w:val="21"/>
                    </w:rPr>
                    <w:t>C</w:t>
                  </w:r>
                  <w:r>
                    <w:rPr>
                      <w:color w:val="auto"/>
                      <w:szCs w:val="21"/>
                      <w:vertAlign w:val="subscript"/>
                    </w:rPr>
                    <w:t>10</w:t>
                  </w:r>
                  <w:r>
                    <w:rPr>
                      <w:color w:val="auto"/>
                      <w:szCs w:val="21"/>
                    </w:rPr>
                    <w:t>-C</w:t>
                  </w:r>
                  <w:r>
                    <w:rPr>
                      <w:color w:val="auto"/>
                      <w:szCs w:val="21"/>
                      <w:vertAlign w:val="subscript"/>
                    </w:rPr>
                    <w:t>40</w:t>
                  </w:r>
                  <w:r>
                    <w:rPr>
                      <w:rFonts w:hint="eastAsia"/>
                      <w:color w:val="auto"/>
                      <w:szCs w:val="21"/>
                    </w:rPr>
                    <w:t>）</w:t>
                  </w:r>
                </w:p>
              </w:tc>
              <w:tc>
                <w:tcPr>
                  <w:tcW w:w="3592" w:type="dxa"/>
                  <w:tcBorders>
                    <w:tl2br w:val="nil"/>
                    <w:tr2bl w:val="nil"/>
                  </w:tcBorders>
                  <w:vAlign w:val="center"/>
                </w:tcPr>
                <w:p>
                  <w:pPr>
                    <w:jc w:val="center"/>
                    <w:rPr>
                      <w:color w:val="auto"/>
                      <w:szCs w:val="21"/>
                    </w:rPr>
                  </w:pPr>
                  <w:r>
                    <w:rPr>
                      <w:color w:val="auto"/>
                      <w:szCs w:val="21"/>
                    </w:rPr>
                    <w:t>土壤和沉积物 石油烃(C10-C40)的测定 气相色谱法 HJ 1021-2019</w:t>
                  </w:r>
                </w:p>
              </w:tc>
              <w:tc>
                <w:tcPr>
                  <w:tcW w:w="2063" w:type="dxa"/>
                  <w:tcBorders>
                    <w:tl2br w:val="nil"/>
                    <w:tr2bl w:val="nil"/>
                  </w:tcBorders>
                  <w:vAlign w:val="center"/>
                </w:tcPr>
                <w:p>
                  <w:pPr>
                    <w:jc w:val="center"/>
                    <w:rPr>
                      <w:color w:val="auto"/>
                      <w:szCs w:val="21"/>
                    </w:rPr>
                  </w:pPr>
                  <w:r>
                    <w:rPr>
                      <w:rFonts w:hint="eastAsia"/>
                      <w:color w:val="auto"/>
                      <w:szCs w:val="21"/>
                    </w:rPr>
                    <w:t>电子天平ZJYQ-486</w:t>
                  </w:r>
                </w:p>
                <w:p>
                  <w:pPr>
                    <w:jc w:val="center"/>
                    <w:rPr>
                      <w:color w:val="auto"/>
                    </w:rPr>
                  </w:pPr>
                  <w:r>
                    <w:rPr>
                      <w:rFonts w:hint="eastAsia"/>
                      <w:color w:val="auto"/>
                    </w:rPr>
                    <w:t>酸度计</w:t>
                  </w:r>
                  <w:r>
                    <w:rPr>
                      <w:rFonts w:hint="eastAsia"/>
                      <w:color w:val="auto"/>
                      <w:szCs w:val="21"/>
                    </w:rPr>
                    <w:t>ZJYQ-029</w:t>
                  </w:r>
                </w:p>
              </w:tc>
              <w:tc>
                <w:tcPr>
                  <w:tcW w:w="1024" w:type="dxa"/>
                  <w:tcBorders>
                    <w:tl2br w:val="nil"/>
                    <w:tr2bl w:val="nil"/>
                  </w:tcBorders>
                  <w:vAlign w:val="center"/>
                </w:tcPr>
                <w:p>
                  <w:pPr>
                    <w:jc w:val="center"/>
                    <w:rPr>
                      <w:color w:val="auto"/>
                      <w:szCs w:val="21"/>
                    </w:rPr>
                  </w:pPr>
                  <w:r>
                    <w:rPr>
                      <w:color w:val="auto"/>
                      <w:szCs w:val="21"/>
                    </w:rPr>
                    <w:t>6 mg/kg</w:t>
                  </w:r>
                </w:p>
              </w:tc>
            </w:tr>
          </w:tbl>
          <w:p>
            <w:pPr>
              <w:spacing w:line="360" w:lineRule="auto"/>
              <w:ind w:firstLine="480" w:firstLineChars="200"/>
              <w:rPr>
                <w:color w:val="auto"/>
              </w:rPr>
            </w:pPr>
            <w:r>
              <w:rPr>
                <w:color w:val="auto"/>
                <w:sz w:val="24"/>
              </w:rPr>
              <w:fldChar w:fldCharType="begin"/>
            </w:r>
            <w:r>
              <w:rPr>
                <w:color w:val="auto"/>
                <w:sz w:val="24"/>
              </w:rPr>
              <w:instrText xml:space="preserve"> = 4 \* GB2 \* MERGEFORMAT </w:instrText>
            </w:r>
            <w:r>
              <w:rPr>
                <w:color w:val="auto"/>
                <w:sz w:val="24"/>
              </w:rPr>
              <w:fldChar w:fldCharType="separate"/>
            </w:r>
            <w:r>
              <w:rPr>
                <w:color w:val="auto"/>
                <w:sz w:val="24"/>
              </w:rPr>
              <w:t>⑷</w:t>
            </w:r>
            <w:r>
              <w:rPr>
                <w:color w:val="auto"/>
                <w:sz w:val="24"/>
              </w:rPr>
              <w:fldChar w:fldCharType="end"/>
            </w:r>
            <w:r>
              <w:rPr>
                <w:color w:val="auto"/>
                <w:sz w:val="24"/>
              </w:rPr>
              <w:t xml:space="preserve"> 监测结果与评价</w:t>
            </w:r>
          </w:p>
          <w:p>
            <w:pPr>
              <w:spacing w:line="360" w:lineRule="auto"/>
              <w:ind w:firstLine="480" w:firstLineChars="200"/>
              <w:rPr>
                <w:color w:val="auto"/>
                <w:sz w:val="24"/>
              </w:rPr>
            </w:pPr>
            <w:r>
              <w:rPr>
                <w:rFonts w:hint="eastAsia"/>
                <w:color w:val="auto"/>
                <w:sz w:val="24"/>
              </w:rPr>
              <w:t>土壤环境现状调查</w:t>
            </w:r>
            <w:r>
              <w:rPr>
                <w:color w:val="auto"/>
                <w:sz w:val="24"/>
              </w:rPr>
              <w:t>监测结果见表</w:t>
            </w:r>
            <w:r>
              <w:rPr>
                <w:rFonts w:hint="eastAsia"/>
                <w:color w:val="auto"/>
                <w:sz w:val="24"/>
              </w:rPr>
              <w:t>3-8</w:t>
            </w:r>
            <w:r>
              <w:rPr>
                <w:color w:val="auto"/>
                <w:sz w:val="24"/>
              </w:rPr>
              <w:t>。</w:t>
            </w:r>
          </w:p>
          <w:p>
            <w:pPr>
              <w:adjustRightInd w:val="0"/>
              <w:snapToGrid w:val="0"/>
              <w:spacing w:line="360" w:lineRule="auto"/>
              <w:ind w:firstLine="420" w:firstLineChars="200"/>
              <w:jc w:val="center"/>
              <w:rPr>
                <w:rFonts w:ascii="黑体" w:hAnsi="黑体" w:eastAsia="黑体" w:cs="黑体"/>
                <w:bCs/>
                <w:color w:val="auto"/>
                <w:szCs w:val="22"/>
              </w:rPr>
            </w:pPr>
            <w:r>
              <w:rPr>
                <w:rFonts w:hint="eastAsia" w:ascii="黑体" w:hAnsi="黑体" w:eastAsia="黑体" w:cs="黑体"/>
                <w:bCs/>
                <w:color w:val="auto"/>
                <w:szCs w:val="22"/>
              </w:rPr>
              <w:t>表3-8  土壤环境质量监测结果统计表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6"/>
              <w:gridCol w:w="1095"/>
              <w:gridCol w:w="1135"/>
              <w:gridCol w:w="1135"/>
              <w:gridCol w:w="1135"/>
              <w:gridCol w:w="1035"/>
              <w:gridCol w:w="1140"/>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66"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序号</w:t>
                  </w:r>
                </w:p>
              </w:tc>
              <w:tc>
                <w:tcPr>
                  <w:tcW w:w="1095"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监测项目</w:t>
                  </w:r>
                </w:p>
              </w:tc>
              <w:tc>
                <w:tcPr>
                  <w:tcW w:w="1135"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2511站场表层土</w:t>
                  </w:r>
                </w:p>
              </w:tc>
              <w:tc>
                <w:tcPr>
                  <w:tcW w:w="1135"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3270站场表层土</w:t>
                  </w:r>
                </w:p>
              </w:tc>
              <w:tc>
                <w:tcPr>
                  <w:tcW w:w="1135"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4926-4站场表层土</w:t>
                  </w:r>
                </w:p>
              </w:tc>
              <w:tc>
                <w:tcPr>
                  <w:tcW w:w="1035"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单位</w:t>
                  </w:r>
                </w:p>
              </w:tc>
              <w:tc>
                <w:tcPr>
                  <w:tcW w:w="1140"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标准限值</w:t>
                  </w:r>
                </w:p>
              </w:tc>
              <w:tc>
                <w:tcPr>
                  <w:tcW w:w="859"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是否</w:t>
                  </w:r>
                </w:p>
                <w:p>
                  <w:pPr>
                    <w:jc w:val="center"/>
                    <w:rPr>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66"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w:t>
                  </w:r>
                </w:p>
              </w:tc>
              <w:tc>
                <w:tcPr>
                  <w:tcW w:w="1095"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pH</w:t>
                  </w:r>
                </w:p>
              </w:tc>
              <w:tc>
                <w:tcPr>
                  <w:tcW w:w="1135"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9.10</w:t>
                  </w:r>
                </w:p>
              </w:tc>
              <w:tc>
                <w:tcPr>
                  <w:tcW w:w="1135"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9.20</w:t>
                  </w:r>
                </w:p>
              </w:tc>
              <w:tc>
                <w:tcPr>
                  <w:tcW w:w="1135"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9.19</w:t>
                  </w:r>
                </w:p>
              </w:tc>
              <w:tc>
                <w:tcPr>
                  <w:tcW w:w="1035"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无量纲</w:t>
                  </w:r>
                </w:p>
              </w:tc>
              <w:tc>
                <w:tcPr>
                  <w:tcW w:w="1140"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w:t>
                  </w:r>
                </w:p>
              </w:tc>
              <w:tc>
                <w:tcPr>
                  <w:tcW w:w="859"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66"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w:t>
                  </w:r>
                </w:p>
              </w:tc>
              <w:tc>
                <w:tcPr>
                  <w:tcW w:w="1095"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石油烃</w:t>
                  </w:r>
                  <w:r>
                    <w:rPr>
                      <w:rFonts w:hint="eastAsia"/>
                      <w:color w:val="auto"/>
                      <w:szCs w:val="21"/>
                    </w:rPr>
                    <w:t>（</w:t>
                  </w:r>
                  <w:r>
                    <w:rPr>
                      <w:color w:val="auto"/>
                      <w:szCs w:val="21"/>
                    </w:rPr>
                    <w:t>C</w:t>
                  </w:r>
                  <w:r>
                    <w:rPr>
                      <w:color w:val="auto"/>
                      <w:szCs w:val="21"/>
                      <w:vertAlign w:val="subscript"/>
                    </w:rPr>
                    <w:t>10</w:t>
                  </w:r>
                  <w:r>
                    <w:rPr>
                      <w:color w:val="auto"/>
                      <w:szCs w:val="21"/>
                    </w:rPr>
                    <w:t>-C</w:t>
                  </w:r>
                  <w:r>
                    <w:rPr>
                      <w:color w:val="auto"/>
                      <w:szCs w:val="21"/>
                      <w:vertAlign w:val="subscript"/>
                    </w:rPr>
                    <w:t>40</w:t>
                  </w:r>
                  <w:r>
                    <w:rPr>
                      <w:rFonts w:hint="eastAsia"/>
                      <w:color w:val="auto"/>
                      <w:szCs w:val="21"/>
                    </w:rPr>
                    <w:t>）</w:t>
                  </w:r>
                </w:p>
              </w:tc>
              <w:tc>
                <w:tcPr>
                  <w:tcW w:w="1135"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19</w:t>
                  </w:r>
                </w:p>
              </w:tc>
              <w:tc>
                <w:tcPr>
                  <w:tcW w:w="1135"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18</w:t>
                  </w:r>
                </w:p>
              </w:tc>
              <w:tc>
                <w:tcPr>
                  <w:tcW w:w="1135"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18</w:t>
                  </w:r>
                </w:p>
              </w:tc>
              <w:tc>
                <w:tcPr>
                  <w:tcW w:w="1035"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mg/kg</w:t>
                  </w:r>
                </w:p>
              </w:tc>
              <w:tc>
                <w:tcPr>
                  <w:tcW w:w="1140" w:type="dxa"/>
                  <w:tcBorders>
                    <w:top w:val="single" w:color="auto" w:sz="4" w:space="0"/>
                    <w:left w:val="nil"/>
                    <w:bottom w:val="single" w:color="auto" w:sz="4" w:space="0"/>
                    <w:right w:val="single" w:color="auto" w:sz="4" w:space="0"/>
                  </w:tcBorders>
                  <w:vAlign w:val="center"/>
                </w:tcPr>
                <w:p>
                  <w:pPr>
                    <w:jc w:val="center"/>
                    <w:rPr>
                      <w:color w:val="auto"/>
                      <w:szCs w:val="21"/>
                    </w:rPr>
                  </w:pPr>
                  <w:r>
                    <w:rPr>
                      <w:rFonts w:hint="eastAsia"/>
                      <w:color w:val="auto"/>
                      <w:szCs w:val="21"/>
                    </w:rPr>
                    <w:t>4500</w:t>
                  </w:r>
                </w:p>
              </w:tc>
              <w:tc>
                <w:tcPr>
                  <w:tcW w:w="859" w:type="dxa"/>
                  <w:tcBorders>
                    <w:top w:val="single" w:color="auto" w:sz="4" w:space="0"/>
                    <w:left w:val="nil"/>
                    <w:bottom w:val="single" w:color="auto" w:sz="4" w:space="0"/>
                    <w:right w:val="single" w:color="auto" w:sz="4" w:space="0"/>
                  </w:tcBorders>
                  <w:vAlign w:val="center"/>
                </w:tcPr>
                <w:p>
                  <w:pPr>
                    <w:jc w:val="center"/>
                    <w:rPr>
                      <w:color w:val="auto"/>
                      <w:szCs w:val="21"/>
                    </w:rPr>
                  </w:pPr>
                  <w:r>
                    <w:rPr>
                      <w:color w:val="auto"/>
                      <w:szCs w:val="21"/>
                    </w:rPr>
                    <w:t>达标</w:t>
                  </w:r>
                </w:p>
              </w:tc>
            </w:tr>
          </w:tbl>
          <w:p>
            <w:pPr>
              <w:spacing w:line="360" w:lineRule="auto"/>
              <w:ind w:firstLine="480" w:firstLineChars="200"/>
              <w:rPr>
                <w:color w:val="auto"/>
              </w:rPr>
            </w:pPr>
            <w:r>
              <w:rPr>
                <w:rFonts w:hint="eastAsia"/>
                <w:color w:val="auto"/>
                <w:sz w:val="24"/>
              </w:rPr>
              <w:t>由上表可以看出，项目场地土壤监测值均满足《土壤环境质量 建设用地土壤污染风险管控标准》(GB36600-2018)中第二类用地筛选值。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Align w:val="center"/>
          </w:tcPr>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保护</w:t>
            </w:r>
          </w:p>
          <w:p>
            <w:pPr>
              <w:adjustRightInd w:val="0"/>
              <w:snapToGrid w:val="0"/>
              <w:jc w:val="center"/>
              <w:rPr>
                <w:color w:val="auto"/>
                <w:kern w:val="0"/>
                <w:sz w:val="24"/>
              </w:rPr>
            </w:pPr>
            <w:r>
              <w:rPr>
                <w:color w:val="auto"/>
                <w:kern w:val="0"/>
                <w:sz w:val="24"/>
              </w:rPr>
              <w:t>目标</w:t>
            </w:r>
          </w:p>
        </w:tc>
        <w:tc>
          <w:tcPr>
            <w:tcW w:w="8331" w:type="dxa"/>
            <w:vAlign w:val="center"/>
          </w:tcPr>
          <w:p>
            <w:pPr>
              <w:pStyle w:val="82"/>
              <w:spacing w:line="360" w:lineRule="auto"/>
              <w:ind w:firstLine="480"/>
              <w:rPr>
                <w:rFonts w:ascii="Times New Roman" w:hAnsi="Times New Roman"/>
                <w:color w:val="auto"/>
                <w:sz w:val="24"/>
              </w:rPr>
            </w:pPr>
            <w:r>
              <w:rPr>
                <w:rFonts w:ascii="Times New Roman" w:hAnsi="Times New Roman"/>
                <w:color w:val="auto"/>
                <w:sz w:val="24"/>
              </w:rPr>
              <w:t>项目环境保护目标见表</w:t>
            </w:r>
            <w:r>
              <w:rPr>
                <w:rFonts w:hint="eastAsia" w:ascii="Times New Roman" w:hAnsi="Times New Roman"/>
                <w:color w:val="auto"/>
                <w:sz w:val="24"/>
              </w:rPr>
              <w:t>3-9至表3-11</w:t>
            </w:r>
            <w:r>
              <w:rPr>
                <w:rFonts w:hint="eastAsia" w:ascii="Times New Roman" w:hAnsi="Times New Roman"/>
                <w:color w:val="auto"/>
                <w:sz w:val="24"/>
                <w:lang w:eastAsia="zh-CN"/>
              </w:rPr>
              <w:t>，</w:t>
            </w:r>
            <w:r>
              <w:rPr>
                <w:rFonts w:ascii="Times New Roman" w:hAnsi="Times New Roman"/>
                <w:color w:val="auto"/>
                <w:sz w:val="24"/>
              </w:rPr>
              <w:t>环境保护目标</w:t>
            </w:r>
            <w:r>
              <w:rPr>
                <w:rFonts w:hint="eastAsia" w:ascii="Times New Roman" w:hAnsi="Times New Roman"/>
                <w:color w:val="auto"/>
                <w:sz w:val="24"/>
                <w:lang w:val="en-US" w:eastAsia="zh-CN"/>
              </w:rPr>
              <w:t>见附图12至附图14</w:t>
            </w:r>
            <w:r>
              <w:rPr>
                <w:rFonts w:ascii="Times New Roman" w:hAnsi="Times New Roman"/>
                <w:color w:val="auto"/>
                <w:sz w:val="24"/>
              </w:rPr>
              <w:t>。</w:t>
            </w:r>
          </w:p>
          <w:p>
            <w:pPr>
              <w:pStyle w:val="82"/>
              <w:snapToGrid w:val="0"/>
              <w:spacing w:line="360" w:lineRule="auto"/>
              <w:ind w:firstLine="12" w:firstLineChars="6"/>
              <w:jc w:val="center"/>
              <w:rPr>
                <w:rFonts w:ascii="Times New Roman" w:hAnsi="Times New Roman" w:eastAsia="黑体"/>
                <w:color w:val="auto"/>
                <w:szCs w:val="21"/>
              </w:rPr>
            </w:pPr>
            <w:r>
              <w:rPr>
                <w:rFonts w:ascii="Times New Roman" w:hAnsi="Times New Roman" w:eastAsia="黑体"/>
                <w:color w:val="auto"/>
                <w:szCs w:val="21"/>
              </w:rPr>
              <w:t>表</w:t>
            </w:r>
            <w:r>
              <w:rPr>
                <w:rFonts w:hint="eastAsia" w:ascii="Times New Roman" w:hAnsi="Times New Roman" w:eastAsia="黑体"/>
                <w:color w:val="auto"/>
                <w:szCs w:val="21"/>
              </w:rPr>
              <w:t>3-9</w:t>
            </w:r>
            <w:r>
              <w:rPr>
                <w:rFonts w:ascii="Times New Roman" w:hAnsi="Times New Roman" w:eastAsia="黑体"/>
                <w:color w:val="auto"/>
                <w:szCs w:val="21"/>
              </w:rPr>
              <w:t xml:space="preserve">  </w:t>
            </w:r>
            <w:r>
              <w:rPr>
                <w:rFonts w:hint="eastAsia" w:ascii="Times New Roman" w:hAnsi="Times New Roman" w:eastAsia="黑体"/>
                <w:color w:val="auto"/>
                <w:szCs w:val="21"/>
              </w:rPr>
              <w:t>2511站场</w:t>
            </w:r>
            <w:r>
              <w:rPr>
                <w:rFonts w:ascii="Times New Roman" w:hAnsi="Times New Roman" w:eastAsia="黑体"/>
                <w:color w:val="auto"/>
                <w:szCs w:val="21"/>
              </w:rPr>
              <w:t>环境保护目标</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1559"/>
              <w:gridCol w:w="1466"/>
              <w:gridCol w:w="1234"/>
              <w:gridCol w:w="2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286" w:type="dxa"/>
                  <w:vAlign w:val="center"/>
                </w:tcPr>
                <w:p>
                  <w:pPr>
                    <w:autoSpaceDE w:val="0"/>
                    <w:autoSpaceDN w:val="0"/>
                    <w:adjustRightInd w:val="0"/>
                    <w:snapToGrid w:val="0"/>
                    <w:jc w:val="center"/>
                    <w:rPr>
                      <w:color w:val="auto"/>
                      <w:kern w:val="0"/>
                      <w:szCs w:val="21"/>
                    </w:rPr>
                  </w:pPr>
                  <w:r>
                    <w:rPr>
                      <w:rFonts w:hint="eastAsia"/>
                      <w:color w:val="auto"/>
                      <w:kern w:val="0"/>
                      <w:szCs w:val="21"/>
                    </w:rPr>
                    <w:t>环境</w:t>
                  </w:r>
                </w:p>
                <w:p>
                  <w:pPr>
                    <w:autoSpaceDE w:val="0"/>
                    <w:autoSpaceDN w:val="0"/>
                    <w:adjustRightInd w:val="0"/>
                    <w:snapToGrid w:val="0"/>
                    <w:jc w:val="center"/>
                    <w:rPr>
                      <w:color w:val="auto"/>
                      <w:kern w:val="0"/>
                      <w:szCs w:val="21"/>
                    </w:rPr>
                  </w:pPr>
                  <w:r>
                    <w:rPr>
                      <w:rFonts w:hint="eastAsia"/>
                      <w:color w:val="auto"/>
                      <w:kern w:val="0"/>
                      <w:szCs w:val="21"/>
                    </w:rPr>
                    <w:t>要素</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环境保护目标</w:t>
                  </w:r>
                </w:p>
              </w:tc>
              <w:tc>
                <w:tcPr>
                  <w:tcW w:w="1466" w:type="dxa"/>
                  <w:vAlign w:val="center"/>
                </w:tcPr>
                <w:p>
                  <w:pPr>
                    <w:autoSpaceDE w:val="0"/>
                    <w:autoSpaceDN w:val="0"/>
                    <w:adjustRightInd w:val="0"/>
                    <w:snapToGrid w:val="0"/>
                    <w:jc w:val="center"/>
                    <w:rPr>
                      <w:color w:val="auto"/>
                      <w:kern w:val="0"/>
                      <w:szCs w:val="21"/>
                    </w:rPr>
                  </w:pPr>
                  <w:r>
                    <w:rPr>
                      <w:rFonts w:hint="eastAsia"/>
                      <w:color w:val="auto"/>
                      <w:kern w:val="0"/>
                      <w:szCs w:val="21"/>
                    </w:rPr>
                    <w:t>保护内容</w:t>
                  </w:r>
                </w:p>
              </w:tc>
              <w:tc>
                <w:tcPr>
                  <w:tcW w:w="1234" w:type="dxa"/>
                  <w:vAlign w:val="center"/>
                </w:tcPr>
                <w:p>
                  <w:pPr>
                    <w:autoSpaceDE w:val="0"/>
                    <w:autoSpaceDN w:val="0"/>
                    <w:adjustRightInd w:val="0"/>
                    <w:snapToGrid w:val="0"/>
                    <w:jc w:val="center"/>
                    <w:rPr>
                      <w:color w:val="auto"/>
                      <w:kern w:val="0"/>
                      <w:szCs w:val="21"/>
                    </w:rPr>
                  </w:pPr>
                  <w:r>
                    <w:rPr>
                      <w:rFonts w:hint="eastAsia"/>
                      <w:color w:val="auto"/>
                      <w:kern w:val="0"/>
                      <w:szCs w:val="21"/>
                    </w:rPr>
                    <w:t>环境功能区</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与建设项目厂界位置关系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6" w:type="dxa"/>
                  <w:vAlign w:val="center"/>
                </w:tcPr>
                <w:p>
                  <w:pPr>
                    <w:autoSpaceDE w:val="0"/>
                    <w:autoSpaceDN w:val="0"/>
                    <w:adjustRightInd w:val="0"/>
                    <w:snapToGrid w:val="0"/>
                    <w:jc w:val="center"/>
                    <w:rPr>
                      <w:color w:val="auto"/>
                      <w:kern w:val="0"/>
                      <w:szCs w:val="21"/>
                    </w:rPr>
                  </w:pPr>
                  <w:r>
                    <w:rPr>
                      <w:rFonts w:hint="eastAsia"/>
                      <w:color w:val="auto"/>
                      <w:kern w:val="0"/>
                      <w:szCs w:val="21"/>
                    </w:rPr>
                    <w:t>环境空气</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许伙场</w:t>
                  </w:r>
                </w:p>
              </w:tc>
              <w:tc>
                <w:tcPr>
                  <w:tcW w:w="1466" w:type="dxa"/>
                  <w:vAlign w:val="center"/>
                </w:tcPr>
                <w:p>
                  <w:pPr>
                    <w:autoSpaceDE w:val="0"/>
                    <w:autoSpaceDN w:val="0"/>
                    <w:adjustRightInd w:val="0"/>
                    <w:snapToGrid w:val="0"/>
                    <w:jc w:val="center"/>
                    <w:rPr>
                      <w:color w:val="auto"/>
                      <w:kern w:val="0"/>
                      <w:szCs w:val="21"/>
                    </w:rPr>
                  </w:pPr>
                  <w:r>
                    <w:rPr>
                      <w:rFonts w:hint="eastAsia"/>
                      <w:color w:val="auto"/>
                      <w:kern w:val="0"/>
                      <w:szCs w:val="21"/>
                    </w:rPr>
                    <w:t>人群健康</w:t>
                  </w:r>
                </w:p>
              </w:tc>
              <w:tc>
                <w:tcPr>
                  <w:tcW w:w="1234" w:type="dxa"/>
                  <w:vAlign w:val="center"/>
                </w:tcPr>
                <w:p>
                  <w:pPr>
                    <w:autoSpaceDE w:val="0"/>
                    <w:autoSpaceDN w:val="0"/>
                    <w:adjustRightInd w:val="0"/>
                    <w:snapToGrid w:val="0"/>
                    <w:jc w:val="center"/>
                    <w:rPr>
                      <w:color w:val="auto"/>
                      <w:kern w:val="0"/>
                      <w:szCs w:val="21"/>
                    </w:rPr>
                  </w:pPr>
                  <w:r>
                    <w:rPr>
                      <w:rFonts w:hint="eastAsia"/>
                      <w:color w:val="auto"/>
                      <w:kern w:val="0"/>
                      <w:szCs w:val="21"/>
                    </w:rPr>
                    <w:t>二类</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北侧175m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vAlign w:val="center"/>
                </w:tcPr>
                <w:p>
                  <w:pPr>
                    <w:autoSpaceDE w:val="0"/>
                    <w:autoSpaceDN w:val="0"/>
                    <w:adjustRightInd w:val="0"/>
                    <w:snapToGrid w:val="0"/>
                    <w:jc w:val="center"/>
                    <w:rPr>
                      <w:color w:val="auto"/>
                      <w:kern w:val="0"/>
                      <w:szCs w:val="21"/>
                    </w:rPr>
                  </w:pPr>
                  <w:r>
                    <w:rPr>
                      <w:rFonts w:hint="eastAsia"/>
                      <w:color w:val="auto"/>
                      <w:kern w:val="0"/>
                      <w:szCs w:val="21"/>
                    </w:rPr>
                    <w:t>声环境</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w:t>
                  </w:r>
                </w:p>
              </w:tc>
              <w:tc>
                <w:tcPr>
                  <w:tcW w:w="1466" w:type="dxa"/>
                  <w:vAlign w:val="center"/>
                </w:tcPr>
                <w:p>
                  <w:pPr>
                    <w:autoSpaceDE w:val="0"/>
                    <w:autoSpaceDN w:val="0"/>
                    <w:adjustRightInd w:val="0"/>
                    <w:snapToGrid w:val="0"/>
                    <w:jc w:val="center"/>
                    <w:rPr>
                      <w:color w:val="auto"/>
                      <w:kern w:val="0"/>
                      <w:szCs w:val="21"/>
                    </w:rPr>
                  </w:pPr>
                  <w:r>
                    <w:rPr>
                      <w:rFonts w:hint="eastAsia"/>
                      <w:color w:val="auto"/>
                      <w:kern w:val="0"/>
                      <w:szCs w:val="21"/>
                    </w:rPr>
                    <w:t>声环境</w:t>
                  </w:r>
                </w:p>
              </w:tc>
              <w:tc>
                <w:tcPr>
                  <w:tcW w:w="1234" w:type="dxa"/>
                  <w:vAlign w:val="center"/>
                </w:tcPr>
                <w:p>
                  <w:pPr>
                    <w:autoSpaceDE w:val="0"/>
                    <w:autoSpaceDN w:val="0"/>
                    <w:adjustRightInd w:val="0"/>
                    <w:snapToGrid w:val="0"/>
                    <w:jc w:val="center"/>
                    <w:rPr>
                      <w:color w:val="auto"/>
                      <w:kern w:val="0"/>
                      <w:szCs w:val="21"/>
                    </w:rPr>
                  </w:pPr>
                  <w:r>
                    <w:rPr>
                      <w:rFonts w:hint="eastAsia"/>
                      <w:color w:val="auto"/>
                      <w:kern w:val="0"/>
                      <w:szCs w:val="21"/>
                    </w:rPr>
                    <w:t>2类</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厂界外50m范围内无声环境保护目标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vAlign w:val="center"/>
                </w:tcPr>
                <w:p>
                  <w:pPr>
                    <w:autoSpaceDE w:val="0"/>
                    <w:autoSpaceDN w:val="0"/>
                    <w:adjustRightInd w:val="0"/>
                    <w:snapToGrid w:val="0"/>
                    <w:jc w:val="center"/>
                    <w:rPr>
                      <w:color w:val="auto"/>
                      <w:kern w:val="0"/>
                      <w:szCs w:val="21"/>
                    </w:rPr>
                  </w:pPr>
                  <w:r>
                    <w:rPr>
                      <w:rFonts w:hint="eastAsia"/>
                      <w:color w:val="auto"/>
                      <w:kern w:val="0"/>
                      <w:szCs w:val="21"/>
                    </w:rPr>
                    <w:t>地下水</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地下潜水层</w:t>
                  </w:r>
                </w:p>
              </w:tc>
              <w:tc>
                <w:tcPr>
                  <w:tcW w:w="1466" w:type="dxa"/>
                  <w:vAlign w:val="center"/>
                </w:tcPr>
                <w:p>
                  <w:pPr>
                    <w:autoSpaceDE w:val="0"/>
                    <w:autoSpaceDN w:val="0"/>
                    <w:adjustRightInd w:val="0"/>
                    <w:snapToGrid w:val="0"/>
                    <w:jc w:val="center"/>
                    <w:rPr>
                      <w:color w:val="auto"/>
                      <w:kern w:val="0"/>
                      <w:szCs w:val="21"/>
                    </w:rPr>
                  </w:pPr>
                  <w:r>
                    <w:rPr>
                      <w:rFonts w:hint="eastAsia"/>
                      <w:color w:val="auto"/>
                      <w:kern w:val="0"/>
                      <w:szCs w:val="21"/>
                    </w:rPr>
                    <w:t>水质</w:t>
                  </w:r>
                </w:p>
              </w:tc>
              <w:tc>
                <w:tcPr>
                  <w:tcW w:w="1234" w:type="dxa"/>
                  <w:vAlign w:val="center"/>
                </w:tcPr>
                <w:p>
                  <w:pPr>
                    <w:autoSpaceDE w:val="0"/>
                    <w:autoSpaceDN w:val="0"/>
                    <w:adjustRightInd w:val="0"/>
                    <w:snapToGrid w:val="0"/>
                    <w:jc w:val="center"/>
                    <w:rPr>
                      <w:color w:val="auto"/>
                      <w:kern w:val="0"/>
                      <w:szCs w:val="21"/>
                    </w:rPr>
                  </w:pPr>
                  <w:r>
                    <w:rPr>
                      <w:rFonts w:hint="eastAsia"/>
                      <w:color w:val="auto"/>
                      <w:kern w:val="0"/>
                      <w:szCs w:val="21"/>
                    </w:rPr>
                    <w:t>III类</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厂界外500m范围内无地下水集中式饮用水源和热水、矿泉水、温泉等特殊地下水资源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286" w:type="dxa"/>
                  <w:vAlign w:val="center"/>
                </w:tcPr>
                <w:p>
                  <w:pPr>
                    <w:autoSpaceDE w:val="0"/>
                    <w:autoSpaceDN w:val="0"/>
                    <w:adjustRightInd w:val="0"/>
                    <w:snapToGrid w:val="0"/>
                    <w:jc w:val="center"/>
                    <w:rPr>
                      <w:color w:val="auto"/>
                      <w:kern w:val="0"/>
                      <w:szCs w:val="21"/>
                    </w:rPr>
                  </w:pPr>
                  <w:r>
                    <w:rPr>
                      <w:color w:val="auto"/>
                      <w:kern w:val="0"/>
                      <w:szCs w:val="21"/>
                    </w:rPr>
                    <w:t>生态</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w:t>
                  </w:r>
                </w:p>
              </w:tc>
              <w:tc>
                <w:tcPr>
                  <w:tcW w:w="5260" w:type="dxa"/>
                  <w:gridSpan w:val="3"/>
                  <w:vAlign w:val="center"/>
                </w:tcPr>
                <w:p>
                  <w:pPr>
                    <w:autoSpaceDE w:val="0"/>
                    <w:autoSpaceDN w:val="0"/>
                    <w:adjustRightInd w:val="0"/>
                    <w:snapToGrid w:val="0"/>
                    <w:jc w:val="center"/>
                    <w:rPr>
                      <w:color w:val="auto"/>
                      <w:kern w:val="0"/>
                      <w:szCs w:val="21"/>
                    </w:rPr>
                  </w:pPr>
                  <w:r>
                    <w:rPr>
                      <w:rFonts w:hint="eastAsia"/>
                      <w:color w:val="auto"/>
                      <w:kern w:val="0"/>
                      <w:szCs w:val="21"/>
                    </w:rPr>
                    <w:t>无</w:t>
                  </w:r>
                </w:p>
              </w:tc>
            </w:tr>
          </w:tbl>
          <w:p>
            <w:pPr>
              <w:pStyle w:val="82"/>
              <w:snapToGrid w:val="0"/>
              <w:spacing w:line="360" w:lineRule="auto"/>
              <w:ind w:firstLine="12" w:firstLineChars="6"/>
              <w:jc w:val="center"/>
              <w:rPr>
                <w:rFonts w:ascii="Times New Roman" w:hAnsi="Times New Roman" w:eastAsia="黑体"/>
                <w:color w:val="auto"/>
                <w:szCs w:val="21"/>
              </w:rPr>
            </w:pPr>
            <w:r>
              <w:rPr>
                <w:rFonts w:ascii="Times New Roman" w:hAnsi="Times New Roman" w:eastAsia="黑体"/>
                <w:color w:val="auto"/>
                <w:szCs w:val="21"/>
              </w:rPr>
              <w:t>表</w:t>
            </w:r>
            <w:r>
              <w:rPr>
                <w:rFonts w:hint="eastAsia" w:ascii="Times New Roman" w:hAnsi="Times New Roman" w:eastAsia="黑体"/>
                <w:color w:val="auto"/>
                <w:szCs w:val="21"/>
              </w:rPr>
              <w:t>3-10</w:t>
            </w:r>
            <w:r>
              <w:rPr>
                <w:rFonts w:ascii="Times New Roman" w:hAnsi="Times New Roman" w:eastAsia="黑体"/>
                <w:color w:val="auto"/>
                <w:szCs w:val="21"/>
              </w:rPr>
              <w:t xml:space="preserve">  </w:t>
            </w:r>
            <w:r>
              <w:rPr>
                <w:rFonts w:hint="eastAsia" w:ascii="Times New Roman" w:hAnsi="Times New Roman" w:eastAsia="黑体"/>
                <w:color w:val="auto"/>
                <w:szCs w:val="21"/>
              </w:rPr>
              <w:t>3270站场</w:t>
            </w:r>
            <w:r>
              <w:rPr>
                <w:rFonts w:ascii="Times New Roman" w:hAnsi="Times New Roman" w:eastAsia="黑体"/>
                <w:color w:val="auto"/>
                <w:szCs w:val="21"/>
              </w:rPr>
              <w:t>环境保护目标</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1559"/>
              <w:gridCol w:w="1466"/>
              <w:gridCol w:w="1234"/>
              <w:gridCol w:w="2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286" w:type="dxa"/>
                  <w:vAlign w:val="center"/>
                </w:tcPr>
                <w:p>
                  <w:pPr>
                    <w:autoSpaceDE w:val="0"/>
                    <w:autoSpaceDN w:val="0"/>
                    <w:adjustRightInd w:val="0"/>
                    <w:snapToGrid w:val="0"/>
                    <w:jc w:val="center"/>
                    <w:rPr>
                      <w:color w:val="auto"/>
                      <w:kern w:val="0"/>
                      <w:szCs w:val="21"/>
                    </w:rPr>
                  </w:pPr>
                  <w:r>
                    <w:rPr>
                      <w:rFonts w:hint="eastAsia"/>
                      <w:color w:val="auto"/>
                      <w:kern w:val="0"/>
                      <w:szCs w:val="21"/>
                    </w:rPr>
                    <w:t>环境</w:t>
                  </w:r>
                </w:p>
                <w:p>
                  <w:pPr>
                    <w:autoSpaceDE w:val="0"/>
                    <w:autoSpaceDN w:val="0"/>
                    <w:adjustRightInd w:val="0"/>
                    <w:snapToGrid w:val="0"/>
                    <w:jc w:val="center"/>
                    <w:rPr>
                      <w:color w:val="auto"/>
                      <w:kern w:val="0"/>
                      <w:szCs w:val="21"/>
                    </w:rPr>
                  </w:pPr>
                  <w:r>
                    <w:rPr>
                      <w:rFonts w:hint="eastAsia"/>
                      <w:color w:val="auto"/>
                      <w:kern w:val="0"/>
                      <w:szCs w:val="21"/>
                    </w:rPr>
                    <w:t>要素</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环境保护目标</w:t>
                  </w:r>
                </w:p>
              </w:tc>
              <w:tc>
                <w:tcPr>
                  <w:tcW w:w="1466" w:type="dxa"/>
                  <w:vAlign w:val="center"/>
                </w:tcPr>
                <w:p>
                  <w:pPr>
                    <w:autoSpaceDE w:val="0"/>
                    <w:autoSpaceDN w:val="0"/>
                    <w:adjustRightInd w:val="0"/>
                    <w:snapToGrid w:val="0"/>
                    <w:jc w:val="center"/>
                    <w:rPr>
                      <w:color w:val="auto"/>
                      <w:kern w:val="0"/>
                      <w:szCs w:val="21"/>
                    </w:rPr>
                  </w:pPr>
                  <w:r>
                    <w:rPr>
                      <w:rFonts w:hint="eastAsia"/>
                      <w:color w:val="auto"/>
                      <w:kern w:val="0"/>
                      <w:szCs w:val="21"/>
                    </w:rPr>
                    <w:t>保护内容</w:t>
                  </w:r>
                </w:p>
              </w:tc>
              <w:tc>
                <w:tcPr>
                  <w:tcW w:w="1234" w:type="dxa"/>
                  <w:vAlign w:val="center"/>
                </w:tcPr>
                <w:p>
                  <w:pPr>
                    <w:autoSpaceDE w:val="0"/>
                    <w:autoSpaceDN w:val="0"/>
                    <w:adjustRightInd w:val="0"/>
                    <w:snapToGrid w:val="0"/>
                    <w:jc w:val="center"/>
                    <w:rPr>
                      <w:color w:val="auto"/>
                      <w:kern w:val="0"/>
                      <w:szCs w:val="21"/>
                    </w:rPr>
                  </w:pPr>
                  <w:r>
                    <w:rPr>
                      <w:rFonts w:hint="eastAsia"/>
                      <w:color w:val="auto"/>
                      <w:kern w:val="0"/>
                      <w:szCs w:val="21"/>
                    </w:rPr>
                    <w:t>环境功能区</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与建设项目厂界位置关系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vAlign w:val="center"/>
                </w:tcPr>
                <w:p>
                  <w:pPr>
                    <w:autoSpaceDE w:val="0"/>
                    <w:autoSpaceDN w:val="0"/>
                    <w:adjustRightInd w:val="0"/>
                    <w:snapToGrid w:val="0"/>
                    <w:jc w:val="center"/>
                    <w:rPr>
                      <w:color w:val="auto"/>
                      <w:kern w:val="0"/>
                      <w:szCs w:val="21"/>
                    </w:rPr>
                  </w:pPr>
                  <w:r>
                    <w:rPr>
                      <w:rFonts w:hint="eastAsia"/>
                      <w:color w:val="auto"/>
                      <w:kern w:val="0"/>
                      <w:szCs w:val="21"/>
                    </w:rPr>
                    <w:t>环境空气</w:t>
                  </w:r>
                </w:p>
              </w:tc>
              <w:tc>
                <w:tcPr>
                  <w:tcW w:w="1559" w:type="dxa"/>
                  <w:vAlign w:val="center"/>
                </w:tcPr>
                <w:p>
                  <w:pPr>
                    <w:autoSpaceDE w:val="0"/>
                    <w:autoSpaceDN w:val="0"/>
                    <w:adjustRightInd w:val="0"/>
                    <w:snapToGrid w:val="0"/>
                    <w:jc w:val="center"/>
                    <w:rPr>
                      <w:color w:val="auto"/>
                      <w:kern w:val="0"/>
                      <w:szCs w:val="21"/>
                    </w:rPr>
                  </w:pPr>
                  <w:r>
                    <w:rPr>
                      <w:color w:val="auto"/>
                      <w:kern w:val="0"/>
                      <w:szCs w:val="21"/>
                    </w:rPr>
                    <w:t>五兴庄</w:t>
                  </w:r>
                  <w:r>
                    <w:rPr>
                      <w:rFonts w:hint="eastAsia"/>
                      <w:color w:val="auto"/>
                      <w:kern w:val="0"/>
                      <w:szCs w:val="21"/>
                    </w:rPr>
                    <w:t>村</w:t>
                  </w:r>
                </w:p>
              </w:tc>
              <w:tc>
                <w:tcPr>
                  <w:tcW w:w="1466" w:type="dxa"/>
                  <w:vAlign w:val="center"/>
                </w:tcPr>
                <w:p>
                  <w:pPr>
                    <w:autoSpaceDE w:val="0"/>
                    <w:autoSpaceDN w:val="0"/>
                    <w:adjustRightInd w:val="0"/>
                    <w:snapToGrid w:val="0"/>
                    <w:jc w:val="center"/>
                    <w:rPr>
                      <w:color w:val="auto"/>
                      <w:kern w:val="0"/>
                      <w:szCs w:val="21"/>
                    </w:rPr>
                  </w:pPr>
                  <w:r>
                    <w:rPr>
                      <w:rFonts w:hint="eastAsia"/>
                      <w:color w:val="auto"/>
                      <w:kern w:val="0"/>
                      <w:szCs w:val="21"/>
                    </w:rPr>
                    <w:t>人群健康</w:t>
                  </w:r>
                </w:p>
              </w:tc>
              <w:tc>
                <w:tcPr>
                  <w:tcW w:w="1234" w:type="dxa"/>
                  <w:vAlign w:val="center"/>
                </w:tcPr>
                <w:p>
                  <w:pPr>
                    <w:autoSpaceDE w:val="0"/>
                    <w:autoSpaceDN w:val="0"/>
                    <w:adjustRightInd w:val="0"/>
                    <w:snapToGrid w:val="0"/>
                    <w:jc w:val="center"/>
                    <w:rPr>
                      <w:color w:val="auto"/>
                      <w:kern w:val="0"/>
                      <w:szCs w:val="21"/>
                    </w:rPr>
                  </w:pPr>
                  <w:r>
                    <w:rPr>
                      <w:rFonts w:hint="eastAsia"/>
                      <w:color w:val="auto"/>
                      <w:kern w:val="0"/>
                      <w:szCs w:val="21"/>
                    </w:rPr>
                    <w:t>二类</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北侧397m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vAlign w:val="center"/>
                </w:tcPr>
                <w:p>
                  <w:pPr>
                    <w:autoSpaceDE w:val="0"/>
                    <w:autoSpaceDN w:val="0"/>
                    <w:adjustRightInd w:val="0"/>
                    <w:snapToGrid w:val="0"/>
                    <w:jc w:val="center"/>
                    <w:rPr>
                      <w:color w:val="auto"/>
                      <w:kern w:val="0"/>
                      <w:szCs w:val="21"/>
                    </w:rPr>
                  </w:pPr>
                  <w:r>
                    <w:rPr>
                      <w:rFonts w:hint="eastAsia"/>
                      <w:color w:val="auto"/>
                      <w:kern w:val="0"/>
                      <w:szCs w:val="21"/>
                    </w:rPr>
                    <w:t>声环境</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w:t>
                  </w:r>
                </w:p>
              </w:tc>
              <w:tc>
                <w:tcPr>
                  <w:tcW w:w="1466" w:type="dxa"/>
                  <w:vAlign w:val="center"/>
                </w:tcPr>
                <w:p>
                  <w:pPr>
                    <w:autoSpaceDE w:val="0"/>
                    <w:autoSpaceDN w:val="0"/>
                    <w:adjustRightInd w:val="0"/>
                    <w:snapToGrid w:val="0"/>
                    <w:jc w:val="center"/>
                    <w:rPr>
                      <w:color w:val="auto"/>
                      <w:kern w:val="0"/>
                      <w:szCs w:val="21"/>
                    </w:rPr>
                  </w:pPr>
                  <w:r>
                    <w:rPr>
                      <w:rFonts w:hint="eastAsia"/>
                      <w:color w:val="auto"/>
                      <w:kern w:val="0"/>
                      <w:szCs w:val="21"/>
                    </w:rPr>
                    <w:t>声环境</w:t>
                  </w:r>
                </w:p>
              </w:tc>
              <w:tc>
                <w:tcPr>
                  <w:tcW w:w="1234" w:type="dxa"/>
                  <w:vAlign w:val="center"/>
                </w:tcPr>
                <w:p>
                  <w:pPr>
                    <w:autoSpaceDE w:val="0"/>
                    <w:autoSpaceDN w:val="0"/>
                    <w:adjustRightInd w:val="0"/>
                    <w:snapToGrid w:val="0"/>
                    <w:jc w:val="center"/>
                    <w:rPr>
                      <w:color w:val="auto"/>
                      <w:kern w:val="0"/>
                      <w:szCs w:val="21"/>
                    </w:rPr>
                  </w:pPr>
                  <w:r>
                    <w:rPr>
                      <w:rFonts w:hint="eastAsia"/>
                      <w:color w:val="auto"/>
                      <w:kern w:val="0"/>
                      <w:szCs w:val="21"/>
                    </w:rPr>
                    <w:t>2类</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厂界外50m范围内无声环境保护目标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vAlign w:val="center"/>
                </w:tcPr>
                <w:p>
                  <w:pPr>
                    <w:autoSpaceDE w:val="0"/>
                    <w:autoSpaceDN w:val="0"/>
                    <w:adjustRightInd w:val="0"/>
                    <w:snapToGrid w:val="0"/>
                    <w:jc w:val="center"/>
                    <w:rPr>
                      <w:color w:val="auto"/>
                      <w:kern w:val="0"/>
                      <w:szCs w:val="21"/>
                    </w:rPr>
                  </w:pPr>
                  <w:r>
                    <w:rPr>
                      <w:rFonts w:hint="eastAsia"/>
                      <w:color w:val="auto"/>
                      <w:kern w:val="0"/>
                      <w:szCs w:val="21"/>
                    </w:rPr>
                    <w:t>地下水</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地下潜水层</w:t>
                  </w:r>
                </w:p>
              </w:tc>
              <w:tc>
                <w:tcPr>
                  <w:tcW w:w="1466" w:type="dxa"/>
                  <w:vAlign w:val="center"/>
                </w:tcPr>
                <w:p>
                  <w:pPr>
                    <w:autoSpaceDE w:val="0"/>
                    <w:autoSpaceDN w:val="0"/>
                    <w:adjustRightInd w:val="0"/>
                    <w:snapToGrid w:val="0"/>
                    <w:jc w:val="center"/>
                    <w:rPr>
                      <w:color w:val="auto"/>
                      <w:kern w:val="0"/>
                      <w:szCs w:val="21"/>
                    </w:rPr>
                  </w:pPr>
                  <w:r>
                    <w:rPr>
                      <w:rFonts w:hint="eastAsia"/>
                      <w:color w:val="auto"/>
                      <w:kern w:val="0"/>
                      <w:szCs w:val="21"/>
                    </w:rPr>
                    <w:t>水质</w:t>
                  </w:r>
                </w:p>
              </w:tc>
              <w:tc>
                <w:tcPr>
                  <w:tcW w:w="1234" w:type="dxa"/>
                  <w:vAlign w:val="center"/>
                </w:tcPr>
                <w:p>
                  <w:pPr>
                    <w:autoSpaceDE w:val="0"/>
                    <w:autoSpaceDN w:val="0"/>
                    <w:adjustRightInd w:val="0"/>
                    <w:snapToGrid w:val="0"/>
                    <w:jc w:val="center"/>
                    <w:rPr>
                      <w:color w:val="auto"/>
                      <w:kern w:val="0"/>
                      <w:szCs w:val="21"/>
                    </w:rPr>
                  </w:pPr>
                  <w:r>
                    <w:rPr>
                      <w:rFonts w:hint="eastAsia"/>
                      <w:color w:val="auto"/>
                      <w:kern w:val="0"/>
                      <w:szCs w:val="21"/>
                    </w:rPr>
                    <w:t>III类</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厂界外500m范围内无地下水集中式饮用水源和热水、矿泉水、温泉等特殊地下水资源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286" w:type="dxa"/>
                  <w:vAlign w:val="center"/>
                </w:tcPr>
                <w:p>
                  <w:pPr>
                    <w:autoSpaceDE w:val="0"/>
                    <w:autoSpaceDN w:val="0"/>
                    <w:adjustRightInd w:val="0"/>
                    <w:snapToGrid w:val="0"/>
                    <w:jc w:val="center"/>
                    <w:rPr>
                      <w:color w:val="auto"/>
                      <w:kern w:val="0"/>
                      <w:szCs w:val="21"/>
                    </w:rPr>
                  </w:pPr>
                  <w:r>
                    <w:rPr>
                      <w:color w:val="auto"/>
                      <w:kern w:val="0"/>
                      <w:szCs w:val="21"/>
                    </w:rPr>
                    <w:t>生态</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w:t>
                  </w:r>
                </w:p>
              </w:tc>
              <w:tc>
                <w:tcPr>
                  <w:tcW w:w="5260" w:type="dxa"/>
                  <w:gridSpan w:val="3"/>
                  <w:vAlign w:val="center"/>
                </w:tcPr>
                <w:p>
                  <w:pPr>
                    <w:autoSpaceDE w:val="0"/>
                    <w:autoSpaceDN w:val="0"/>
                    <w:adjustRightInd w:val="0"/>
                    <w:snapToGrid w:val="0"/>
                    <w:jc w:val="center"/>
                    <w:rPr>
                      <w:color w:val="auto"/>
                      <w:kern w:val="0"/>
                      <w:szCs w:val="21"/>
                    </w:rPr>
                  </w:pPr>
                  <w:r>
                    <w:rPr>
                      <w:rFonts w:hint="eastAsia"/>
                      <w:color w:val="auto"/>
                      <w:kern w:val="0"/>
                      <w:szCs w:val="21"/>
                    </w:rPr>
                    <w:t>无</w:t>
                  </w:r>
                </w:p>
              </w:tc>
            </w:tr>
          </w:tbl>
          <w:p>
            <w:pPr>
              <w:pStyle w:val="82"/>
              <w:snapToGrid w:val="0"/>
              <w:spacing w:line="360" w:lineRule="auto"/>
              <w:ind w:firstLine="12" w:firstLineChars="6"/>
              <w:jc w:val="center"/>
              <w:rPr>
                <w:rFonts w:ascii="Times New Roman" w:hAnsi="Times New Roman" w:eastAsia="黑体"/>
                <w:color w:val="auto"/>
                <w:szCs w:val="21"/>
              </w:rPr>
            </w:pPr>
            <w:r>
              <w:rPr>
                <w:rFonts w:ascii="Times New Roman" w:hAnsi="Times New Roman" w:eastAsia="黑体"/>
                <w:color w:val="auto"/>
                <w:szCs w:val="21"/>
              </w:rPr>
              <w:t>表</w:t>
            </w:r>
            <w:r>
              <w:rPr>
                <w:rFonts w:hint="eastAsia" w:ascii="Times New Roman" w:hAnsi="Times New Roman" w:eastAsia="黑体"/>
                <w:color w:val="auto"/>
                <w:szCs w:val="21"/>
              </w:rPr>
              <w:t>3-11</w:t>
            </w:r>
            <w:r>
              <w:rPr>
                <w:rFonts w:ascii="Times New Roman" w:hAnsi="Times New Roman" w:eastAsia="黑体"/>
                <w:color w:val="auto"/>
                <w:szCs w:val="21"/>
              </w:rPr>
              <w:t xml:space="preserve">  </w:t>
            </w:r>
            <w:r>
              <w:rPr>
                <w:rFonts w:hint="eastAsia" w:ascii="Times New Roman" w:hAnsi="Times New Roman" w:eastAsia="黑体"/>
                <w:color w:val="auto"/>
                <w:szCs w:val="21"/>
              </w:rPr>
              <w:t>4926-4站场</w:t>
            </w:r>
            <w:r>
              <w:rPr>
                <w:rFonts w:ascii="Times New Roman" w:hAnsi="Times New Roman" w:eastAsia="黑体"/>
                <w:color w:val="auto"/>
                <w:szCs w:val="21"/>
              </w:rPr>
              <w:t>环境保护目标</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1559"/>
              <w:gridCol w:w="1466"/>
              <w:gridCol w:w="1234"/>
              <w:gridCol w:w="2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286" w:type="dxa"/>
                  <w:vAlign w:val="center"/>
                </w:tcPr>
                <w:p>
                  <w:pPr>
                    <w:autoSpaceDE w:val="0"/>
                    <w:autoSpaceDN w:val="0"/>
                    <w:adjustRightInd w:val="0"/>
                    <w:snapToGrid w:val="0"/>
                    <w:jc w:val="center"/>
                    <w:rPr>
                      <w:color w:val="auto"/>
                      <w:kern w:val="0"/>
                      <w:szCs w:val="21"/>
                    </w:rPr>
                  </w:pPr>
                  <w:r>
                    <w:rPr>
                      <w:color w:val="auto"/>
                      <w:kern w:val="0"/>
                      <w:szCs w:val="21"/>
                    </w:rPr>
                    <w:t>环境</w:t>
                  </w:r>
                </w:p>
                <w:p>
                  <w:pPr>
                    <w:autoSpaceDE w:val="0"/>
                    <w:autoSpaceDN w:val="0"/>
                    <w:adjustRightInd w:val="0"/>
                    <w:snapToGrid w:val="0"/>
                    <w:jc w:val="center"/>
                    <w:rPr>
                      <w:color w:val="auto"/>
                      <w:kern w:val="0"/>
                      <w:szCs w:val="21"/>
                    </w:rPr>
                  </w:pPr>
                  <w:r>
                    <w:rPr>
                      <w:color w:val="auto"/>
                      <w:kern w:val="0"/>
                      <w:szCs w:val="21"/>
                    </w:rPr>
                    <w:t>要素</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环境保护目标</w:t>
                  </w:r>
                </w:p>
              </w:tc>
              <w:tc>
                <w:tcPr>
                  <w:tcW w:w="1466" w:type="dxa"/>
                  <w:vAlign w:val="center"/>
                </w:tcPr>
                <w:p>
                  <w:pPr>
                    <w:autoSpaceDE w:val="0"/>
                    <w:autoSpaceDN w:val="0"/>
                    <w:adjustRightInd w:val="0"/>
                    <w:snapToGrid w:val="0"/>
                    <w:jc w:val="center"/>
                    <w:rPr>
                      <w:color w:val="auto"/>
                      <w:kern w:val="0"/>
                      <w:szCs w:val="21"/>
                    </w:rPr>
                  </w:pPr>
                  <w:r>
                    <w:rPr>
                      <w:color w:val="auto"/>
                      <w:kern w:val="0"/>
                      <w:szCs w:val="21"/>
                    </w:rPr>
                    <w:t>保护内容</w:t>
                  </w:r>
                </w:p>
              </w:tc>
              <w:tc>
                <w:tcPr>
                  <w:tcW w:w="1234" w:type="dxa"/>
                  <w:vAlign w:val="center"/>
                </w:tcPr>
                <w:p>
                  <w:pPr>
                    <w:autoSpaceDE w:val="0"/>
                    <w:autoSpaceDN w:val="0"/>
                    <w:adjustRightInd w:val="0"/>
                    <w:snapToGrid w:val="0"/>
                    <w:jc w:val="center"/>
                    <w:rPr>
                      <w:color w:val="auto"/>
                      <w:kern w:val="0"/>
                      <w:szCs w:val="21"/>
                    </w:rPr>
                  </w:pPr>
                  <w:r>
                    <w:rPr>
                      <w:color w:val="auto"/>
                      <w:kern w:val="0"/>
                      <w:szCs w:val="21"/>
                    </w:rPr>
                    <w:t>环境功能区</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与建设项目厂界位置关系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vAlign w:val="center"/>
                </w:tcPr>
                <w:p>
                  <w:pPr>
                    <w:autoSpaceDE w:val="0"/>
                    <w:autoSpaceDN w:val="0"/>
                    <w:adjustRightInd w:val="0"/>
                    <w:snapToGrid w:val="0"/>
                    <w:jc w:val="center"/>
                    <w:rPr>
                      <w:color w:val="auto"/>
                      <w:kern w:val="0"/>
                      <w:szCs w:val="21"/>
                    </w:rPr>
                  </w:pPr>
                  <w:r>
                    <w:rPr>
                      <w:rFonts w:hint="eastAsia"/>
                      <w:color w:val="auto"/>
                      <w:kern w:val="0"/>
                      <w:szCs w:val="21"/>
                    </w:rPr>
                    <w:t>环境空气</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烂崾岘村</w:t>
                  </w:r>
                </w:p>
              </w:tc>
              <w:tc>
                <w:tcPr>
                  <w:tcW w:w="1466" w:type="dxa"/>
                  <w:vAlign w:val="center"/>
                </w:tcPr>
                <w:p>
                  <w:pPr>
                    <w:autoSpaceDE w:val="0"/>
                    <w:autoSpaceDN w:val="0"/>
                    <w:adjustRightInd w:val="0"/>
                    <w:snapToGrid w:val="0"/>
                    <w:jc w:val="center"/>
                    <w:rPr>
                      <w:color w:val="auto"/>
                      <w:kern w:val="0"/>
                      <w:szCs w:val="21"/>
                    </w:rPr>
                  </w:pPr>
                  <w:r>
                    <w:rPr>
                      <w:rFonts w:hint="eastAsia"/>
                      <w:color w:val="auto"/>
                      <w:kern w:val="0"/>
                      <w:szCs w:val="21"/>
                    </w:rPr>
                    <w:t>人群健康</w:t>
                  </w:r>
                </w:p>
              </w:tc>
              <w:tc>
                <w:tcPr>
                  <w:tcW w:w="1234" w:type="dxa"/>
                  <w:vAlign w:val="center"/>
                </w:tcPr>
                <w:p>
                  <w:pPr>
                    <w:autoSpaceDE w:val="0"/>
                    <w:autoSpaceDN w:val="0"/>
                    <w:adjustRightInd w:val="0"/>
                    <w:snapToGrid w:val="0"/>
                    <w:jc w:val="center"/>
                    <w:rPr>
                      <w:color w:val="auto"/>
                      <w:kern w:val="0"/>
                      <w:szCs w:val="21"/>
                    </w:rPr>
                  </w:pPr>
                  <w:r>
                    <w:rPr>
                      <w:rFonts w:hint="eastAsia"/>
                      <w:color w:val="auto"/>
                      <w:kern w:val="0"/>
                      <w:szCs w:val="21"/>
                    </w:rPr>
                    <w:t>二类</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东</w:t>
                  </w:r>
                  <w:r>
                    <w:rPr>
                      <w:color w:val="auto"/>
                      <w:kern w:val="0"/>
                      <w:szCs w:val="21"/>
                    </w:rPr>
                    <w:t>侧</w:t>
                  </w:r>
                  <w:r>
                    <w:rPr>
                      <w:rFonts w:hint="eastAsia"/>
                      <w:color w:val="auto"/>
                      <w:kern w:val="0"/>
                      <w:szCs w:val="21"/>
                    </w:rPr>
                    <w:t>20</w:t>
                  </w:r>
                  <w:r>
                    <w:rPr>
                      <w:color w:val="auto"/>
                      <w:kern w:val="0"/>
                      <w:szCs w:val="21"/>
                    </w:rPr>
                    <w:t>0</w:t>
                  </w:r>
                  <w:r>
                    <w:rPr>
                      <w:rFonts w:hint="eastAsia"/>
                      <w:color w:val="auto"/>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vAlign w:val="center"/>
                </w:tcPr>
                <w:p>
                  <w:pPr>
                    <w:autoSpaceDE w:val="0"/>
                    <w:autoSpaceDN w:val="0"/>
                    <w:adjustRightInd w:val="0"/>
                    <w:snapToGrid w:val="0"/>
                    <w:jc w:val="center"/>
                    <w:rPr>
                      <w:color w:val="auto"/>
                      <w:kern w:val="0"/>
                      <w:szCs w:val="21"/>
                    </w:rPr>
                  </w:pPr>
                  <w:r>
                    <w:rPr>
                      <w:rFonts w:hint="eastAsia"/>
                      <w:color w:val="auto"/>
                      <w:kern w:val="0"/>
                      <w:szCs w:val="21"/>
                    </w:rPr>
                    <w:t>声环境</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w:t>
                  </w:r>
                </w:p>
              </w:tc>
              <w:tc>
                <w:tcPr>
                  <w:tcW w:w="1466" w:type="dxa"/>
                  <w:vAlign w:val="center"/>
                </w:tcPr>
                <w:p>
                  <w:pPr>
                    <w:autoSpaceDE w:val="0"/>
                    <w:autoSpaceDN w:val="0"/>
                    <w:adjustRightInd w:val="0"/>
                    <w:snapToGrid w:val="0"/>
                    <w:jc w:val="center"/>
                    <w:rPr>
                      <w:color w:val="auto"/>
                      <w:kern w:val="0"/>
                      <w:szCs w:val="21"/>
                    </w:rPr>
                  </w:pPr>
                  <w:r>
                    <w:rPr>
                      <w:rFonts w:hint="eastAsia"/>
                      <w:color w:val="auto"/>
                      <w:kern w:val="0"/>
                      <w:szCs w:val="21"/>
                    </w:rPr>
                    <w:t>声环境</w:t>
                  </w:r>
                </w:p>
              </w:tc>
              <w:tc>
                <w:tcPr>
                  <w:tcW w:w="1234" w:type="dxa"/>
                  <w:vAlign w:val="center"/>
                </w:tcPr>
                <w:p>
                  <w:pPr>
                    <w:autoSpaceDE w:val="0"/>
                    <w:autoSpaceDN w:val="0"/>
                    <w:adjustRightInd w:val="0"/>
                    <w:snapToGrid w:val="0"/>
                    <w:jc w:val="center"/>
                    <w:rPr>
                      <w:color w:val="auto"/>
                      <w:kern w:val="0"/>
                      <w:szCs w:val="21"/>
                    </w:rPr>
                  </w:pPr>
                  <w:r>
                    <w:rPr>
                      <w:rFonts w:hint="eastAsia"/>
                      <w:color w:val="auto"/>
                      <w:kern w:val="0"/>
                      <w:szCs w:val="21"/>
                    </w:rPr>
                    <w:t>2类</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厂界外50m范围内无声环境保护目标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vAlign w:val="center"/>
                </w:tcPr>
                <w:p>
                  <w:pPr>
                    <w:autoSpaceDE w:val="0"/>
                    <w:autoSpaceDN w:val="0"/>
                    <w:adjustRightInd w:val="0"/>
                    <w:snapToGrid w:val="0"/>
                    <w:jc w:val="center"/>
                    <w:rPr>
                      <w:color w:val="auto"/>
                      <w:kern w:val="0"/>
                      <w:szCs w:val="21"/>
                    </w:rPr>
                  </w:pPr>
                  <w:r>
                    <w:rPr>
                      <w:rFonts w:hint="eastAsia"/>
                      <w:color w:val="auto"/>
                      <w:kern w:val="0"/>
                      <w:szCs w:val="21"/>
                    </w:rPr>
                    <w:t>地下水</w:t>
                  </w:r>
                </w:p>
              </w:tc>
              <w:tc>
                <w:tcPr>
                  <w:tcW w:w="1559" w:type="dxa"/>
                  <w:vAlign w:val="center"/>
                </w:tcPr>
                <w:p>
                  <w:pPr>
                    <w:autoSpaceDE w:val="0"/>
                    <w:autoSpaceDN w:val="0"/>
                    <w:adjustRightInd w:val="0"/>
                    <w:snapToGrid w:val="0"/>
                    <w:jc w:val="center"/>
                    <w:rPr>
                      <w:color w:val="auto"/>
                      <w:kern w:val="0"/>
                      <w:szCs w:val="21"/>
                    </w:rPr>
                  </w:pPr>
                  <w:r>
                    <w:rPr>
                      <w:color w:val="auto"/>
                      <w:kern w:val="0"/>
                      <w:szCs w:val="21"/>
                    </w:rPr>
                    <w:t>地下潜水层</w:t>
                  </w:r>
                </w:p>
              </w:tc>
              <w:tc>
                <w:tcPr>
                  <w:tcW w:w="1466" w:type="dxa"/>
                  <w:vAlign w:val="center"/>
                </w:tcPr>
                <w:p>
                  <w:pPr>
                    <w:autoSpaceDE w:val="0"/>
                    <w:autoSpaceDN w:val="0"/>
                    <w:adjustRightInd w:val="0"/>
                    <w:snapToGrid w:val="0"/>
                    <w:jc w:val="center"/>
                    <w:rPr>
                      <w:color w:val="auto"/>
                      <w:kern w:val="0"/>
                      <w:szCs w:val="21"/>
                    </w:rPr>
                  </w:pPr>
                  <w:r>
                    <w:rPr>
                      <w:rFonts w:hint="eastAsia"/>
                      <w:color w:val="auto"/>
                      <w:kern w:val="0"/>
                      <w:szCs w:val="21"/>
                    </w:rPr>
                    <w:t>水质</w:t>
                  </w:r>
                </w:p>
              </w:tc>
              <w:tc>
                <w:tcPr>
                  <w:tcW w:w="1234" w:type="dxa"/>
                  <w:vAlign w:val="center"/>
                </w:tcPr>
                <w:p>
                  <w:pPr>
                    <w:autoSpaceDE w:val="0"/>
                    <w:autoSpaceDN w:val="0"/>
                    <w:adjustRightInd w:val="0"/>
                    <w:snapToGrid w:val="0"/>
                    <w:jc w:val="center"/>
                    <w:rPr>
                      <w:color w:val="auto"/>
                      <w:kern w:val="0"/>
                      <w:szCs w:val="21"/>
                    </w:rPr>
                  </w:pPr>
                  <w:r>
                    <w:rPr>
                      <w:color w:val="auto"/>
                      <w:kern w:val="0"/>
                      <w:szCs w:val="21"/>
                    </w:rPr>
                    <w:t>III类</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厂界外500m范围内无地下水集中式饮用水源和热水、矿泉水、温泉等特殊地下水资源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286" w:type="dxa"/>
                  <w:vAlign w:val="center"/>
                </w:tcPr>
                <w:p>
                  <w:pPr>
                    <w:autoSpaceDE w:val="0"/>
                    <w:autoSpaceDN w:val="0"/>
                    <w:adjustRightInd w:val="0"/>
                    <w:snapToGrid w:val="0"/>
                    <w:jc w:val="center"/>
                    <w:rPr>
                      <w:color w:val="auto"/>
                      <w:kern w:val="0"/>
                      <w:szCs w:val="21"/>
                    </w:rPr>
                  </w:pPr>
                  <w:r>
                    <w:rPr>
                      <w:color w:val="auto"/>
                      <w:kern w:val="0"/>
                      <w:szCs w:val="21"/>
                    </w:rPr>
                    <w:t>生态</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w:t>
                  </w:r>
                </w:p>
              </w:tc>
              <w:tc>
                <w:tcPr>
                  <w:tcW w:w="5260" w:type="dxa"/>
                  <w:gridSpan w:val="3"/>
                  <w:vAlign w:val="center"/>
                </w:tcPr>
                <w:p>
                  <w:pPr>
                    <w:autoSpaceDE w:val="0"/>
                    <w:autoSpaceDN w:val="0"/>
                    <w:adjustRightInd w:val="0"/>
                    <w:snapToGrid w:val="0"/>
                    <w:jc w:val="center"/>
                    <w:rPr>
                      <w:color w:val="auto"/>
                      <w:kern w:val="0"/>
                      <w:szCs w:val="21"/>
                    </w:rPr>
                  </w:pPr>
                  <w:r>
                    <w:rPr>
                      <w:rFonts w:hint="eastAsia"/>
                      <w:color w:val="auto"/>
                      <w:kern w:val="0"/>
                      <w:szCs w:val="21"/>
                    </w:rPr>
                    <w:t>无</w:t>
                  </w:r>
                </w:p>
              </w:tc>
            </w:tr>
          </w:tbl>
          <w:p>
            <w:pPr>
              <w:pStyle w:val="82"/>
              <w:snapToGrid w:val="0"/>
              <w:spacing w:line="360" w:lineRule="auto"/>
              <w:ind w:firstLine="12" w:firstLineChars="6"/>
              <w:jc w:val="center"/>
              <w:rPr>
                <w:rFonts w:ascii="Times New Roman" w:hAnsi="Times New Roman" w:eastAsia="黑体"/>
                <w:color w:val="auto"/>
                <w:szCs w:val="21"/>
              </w:rPr>
            </w:pPr>
            <w:r>
              <w:rPr>
                <w:rFonts w:ascii="Times New Roman" w:hAnsi="Times New Roman" w:eastAsia="黑体"/>
                <w:color w:val="auto"/>
                <w:szCs w:val="21"/>
              </w:rPr>
              <w:t>表</w:t>
            </w:r>
            <w:r>
              <w:rPr>
                <w:rFonts w:hint="eastAsia" w:ascii="Times New Roman" w:hAnsi="Times New Roman" w:eastAsia="黑体"/>
                <w:color w:val="auto"/>
                <w:szCs w:val="21"/>
              </w:rPr>
              <w:t>3-12</w:t>
            </w:r>
            <w:r>
              <w:rPr>
                <w:rFonts w:ascii="Times New Roman" w:hAnsi="Times New Roman" w:eastAsia="黑体"/>
                <w:color w:val="auto"/>
                <w:szCs w:val="21"/>
              </w:rPr>
              <w:t xml:space="preserve">  </w:t>
            </w:r>
            <w:r>
              <w:rPr>
                <w:rFonts w:hint="eastAsia" w:ascii="Times New Roman" w:hAnsi="Times New Roman" w:eastAsia="黑体"/>
                <w:color w:val="auto"/>
                <w:szCs w:val="21"/>
              </w:rPr>
              <w:t>本项目</w:t>
            </w:r>
            <w:r>
              <w:rPr>
                <w:rFonts w:ascii="Times New Roman" w:hAnsi="Times New Roman" w:eastAsia="黑体"/>
                <w:color w:val="auto"/>
                <w:szCs w:val="21"/>
              </w:rPr>
              <w:t>环境保护目标</w:t>
            </w:r>
            <w:r>
              <w:rPr>
                <w:rFonts w:hint="eastAsia" w:ascii="Times New Roman" w:hAnsi="Times New Roman" w:eastAsia="黑体"/>
                <w:color w:val="auto"/>
                <w:szCs w:val="21"/>
              </w:rPr>
              <w:t>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1559"/>
              <w:gridCol w:w="1466"/>
              <w:gridCol w:w="1234"/>
              <w:gridCol w:w="2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286" w:type="dxa"/>
                  <w:vAlign w:val="center"/>
                </w:tcPr>
                <w:p>
                  <w:pPr>
                    <w:autoSpaceDE w:val="0"/>
                    <w:autoSpaceDN w:val="0"/>
                    <w:adjustRightInd w:val="0"/>
                    <w:snapToGrid w:val="0"/>
                    <w:jc w:val="center"/>
                    <w:rPr>
                      <w:color w:val="auto"/>
                      <w:kern w:val="0"/>
                      <w:szCs w:val="21"/>
                    </w:rPr>
                  </w:pPr>
                  <w:r>
                    <w:rPr>
                      <w:color w:val="auto"/>
                      <w:kern w:val="0"/>
                      <w:szCs w:val="21"/>
                    </w:rPr>
                    <w:t>环境</w:t>
                  </w:r>
                </w:p>
                <w:p>
                  <w:pPr>
                    <w:autoSpaceDE w:val="0"/>
                    <w:autoSpaceDN w:val="0"/>
                    <w:adjustRightInd w:val="0"/>
                    <w:snapToGrid w:val="0"/>
                    <w:jc w:val="center"/>
                    <w:rPr>
                      <w:color w:val="auto"/>
                      <w:kern w:val="0"/>
                      <w:szCs w:val="21"/>
                    </w:rPr>
                  </w:pPr>
                  <w:r>
                    <w:rPr>
                      <w:color w:val="auto"/>
                      <w:kern w:val="0"/>
                      <w:szCs w:val="21"/>
                    </w:rPr>
                    <w:t>要素</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环境保护目标</w:t>
                  </w:r>
                </w:p>
              </w:tc>
              <w:tc>
                <w:tcPr>
                  <w:tcW w:w="1466" w:type="dxa"/>
                  <w:vAlign w:val="center"/>
                </w:tcPr>
                <w:p>
                  <w:pPr>
                    <w:autoSpaceDE w:val="0"/>
                    <w:autoSpaceDN w:val="0"/>
                    <w:adjustRightInd w:val="0"/>
                    <w:snapToGrid w:val="0"/>
                    <w:jc w:val="center"/>
                    <w:rPr>
                      <w:color w:val="auto"/>
                      <w:kern w:val="0"/>
                      <w:szCs w:val="21"/>
                    </w:rPr>
                  </w:pPr>
                  <w:r>
                    <w:rPr>
                      <w:color w:val="auto"/>
                      <w:kern w:val="0"/>
                      <w:szCs w:val="21"/>
                    </w:rPr>
                    <w:t>保护内容</w:t>
                  </w:r>
                </w:p>
              </w:tc>
              <w:tc>
                <w:tcPr>
                  <w:tcW w:w="1234" w:type="dxa"/>
                  <w:vAlign w:val="center"/>
                </w:tcPr>
                <w:p>
                  <w:pPr>
                    <w:autoSpaceDE w:val="0"/>
                    <w:autoSpaceDN w:val="0"/>
                    <w:adjustRightInd w:val="0"/>
                    <w:snapToGrid w:val="0"/>
                    <w:jc w:val="center"/>
                    <w:rPr>
                      <w:color w:val="auto"/>
                      <w:kern w:val="0"/>
                      <w:szCs w:val="21"/>
                    </w:rPr>
                  </w:pPr>
                  <w:r>
                    <w:rPr>
                      <w:color w:val="auto"/>
                      <w:kern w:val="0"/>
                      <w:szCs w:val="21"/>
                    </w:rPr>
                    <w:t>环境功能区</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与建设项目厂界位置关系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vMerge w:val="restart"/>
                  <w:vAlign w:val="center"/>
                </w:tcPr>
                <w:p>
                  <w:pPr>
                    <w:autoSpaceDE w:val="0"/>
                    <w:autoSpaceDN w:val="0"/>
                    <w:adjustRightInd w:val="0"/>
                    <w:snapToGrid w:val="0"/>
                    <w:jc w:val="center"/>
                    <w:rPr>
                      <w:color w:val="auto"/>
                      <w:kern w:val="0"/>
                      <w:szCs w:val="21"/>
                    </w:rPr>
                  </w:pPr>
                  <w:r>
                    <w:rPr>
                      <w:rFonts w:hint="eastAsia"/>
                      <w:color w:val="auto"/>
                      <w:kern w:val="0"/>
                      <w:szCs w:val="21"/>
                    </w:rPr>
                    <w:t>环境空气</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许伙场</w:t>
                  </w:r>
                </w:p>
              </w:tc>
              <w:tc>
                <w:tcPr>
                  <w:tcW w:w="1466" w:type="dxa"/>
                  <w:vMerge w:val="restart"/>
                  <w:vAlign w:val="center"/>
                </w:tcPr>
                <w:p>
                  <w:pPr>
                    <w:autoSpaceDE w:val="0"/>
                    <w:autoSpaceDN w:val="0"/>
                    <w:adjustRightInd w:val="0"/>
                    <w:snapToGrid w:val="0"/>
                    <w:jc w:val="center"/>
                    <w:rPr>
                      <w:color w:val="auto"/>
                      <w:kern w:val="0"/>
                      <w:szCs w:val="21"/>
                    </w:rPr>
                  </w:pPr>
                  <w:r>
                    <w:rPr>
                      <w:rFonts w:hint="eastAsia"/>
                      <w:color w:val="auto"/>
                      <w:kern w:val="0"/>
                      <w:szCs w:val="21"/>
                    </w:rPr>
                    <w:t>人群健康</w:t>
                  </w:r>
                </w:p>
              </w:tc>
              <w:tc>
                <w:tcPr>
                  <w:tcW w:w="1234" w:type="dxa"/>
                  <w:vMerge w:val="restart"/>
                  <w:vAlign w:val="center"/>
                </w:tcPr>
                <w:p>
                  <w:pPr>
                    <w:autoSpaceDE w:val="0"/>
                    <w:autoSpaceDN w:val="0"/>
                    <w:adjustRightInd w:val="0"/>
                    <w:snapToGrid w:val="0"/>
                    <w:jc w:val="center"/>
                    <w:rPr>
                      <w:color w:val="auto"/>
                      <w:kern w:val="0"/>
                      <w:szCs w:val="21"/>
                    </w:rPr>
                  </w:pPr>
                  <w:r>
                    <w:rPr>
                      <w:rFonts w:hint="eastAsia"/>
                      <w:color w:val="auto"/>
                      <w:kern w:val="0"/>
                      <w:szCs w:val="21"/>
                    </w:rPr>
                    <w:t>二类</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北侧175m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vMerge w:val="continue"/>
                  <w:vAlign w:val="center"/>
                </w:tcPr>
                <w:p>
                  <w:pPr>
                    <w:autoSpaceDE w:val="0"/>
                    <w:autoSpaceDN w:val="0"/>
                    <w:adjustRightInd w:val="0"/>
                    <w:snapToGrid w:val="0"/>
                    <w:jc w:val="center"/>
                    <w:rPr>
                      <w:color w:val="auto"/>
                      <w:kern w:val="0"/>
                      <w:szCs w:val="21"/>
                    </w:rPr>
                  </w:pPr>
                </w:p>
              </w:tc>
              <w:tc>
                <w:tcPr>
                  <w:tcW w:w="1559" w:type="dxa"/>
                  <w:vAlign w:val="center"/>
                </w:tcPr>
                <w:p>
                  <w:pPr>
                    <w:autoSpaceDE w:val="0"/>
                    <w:autoSpaceDN w:val="0"/>
                    <w:adjustRightInd w:val="0"/>
                    <w:snapToGrid w:val="0"/>
                    <w:jc w:val="center"/>
                    <w:rPr>
                      <w:color w:val="auto"/>
                      <w:kern w:val="0"/>
                      <w:szCs w:val="21"/>
                    </w:rPr>
                  </w:pPr>
                  <w:r>
                    <w:rPr>
                      <w:color w:val="auto"/>
                      <w:kern w:val="0"/>
                      <w:szCs w:val="21"/>
                    </w:rPr>
                    <w:t>五兴庄</w:t>
                  </w:r>
                  <w:r>
                    <w:rPr>
                      <w:rFonts w:hint="eastAsia"/>
                      <w:color w:val="auto"/>
                      <w:kern w:val="0"/>
                      <w:szCs w:val="21"/>
                    </w:rPr>
                    <w:t>村</w:t>
                  </w:r>
                </w:p>
              </w:tc>
              <w:tc>
                <w:tcPr>
                  <w:tcW w:w="1466" w:type="dxa"/>
                  <w:vMerge w:val="continue"/>
                  <w:vAlign w:val="center"/>
                </w:tcPr>
                <w:p>
                  <w:pPr>
                    <w:autoSpaceDE w:val="0"/>
                    <w:autoSpaceDN w:val="0"/>
                    <w:adjustRightInd w:val="0"/>
                    <w:snapToGrid w:val="0"/>
                    <w:jc w:val="center"/>
                    <w:rPr>
                      <w:color w:val="auto"/>
                      <w:kern w:val="0"/>
                      <w:szCs w:val="21"/>
                    </w:rPr>
                  </w:pPr>
                </w:p>
              </w:tc>
              <w:tc>
                <w:tcPr>
                  <w:tcW w:w="1234" w:type="dxa"/>
                  <w:vMerge w:val="continue"/>
                  <w:vAlign w:val="center"/>
                </w:tcPr>
                <w:p>
                  <w:pPr>
                    <w:autoSpaceDE w:val="0"/>
                    <w:autoSpaceDN w:val="0"/>
                    <w:adjustRightInd w:val="0"/>
                    <w:snapToGrid w:val="0"/>
                    <w:jc w:val="center"/>
                    <w:rPr>
                      <w:color w:val="auto"/>
                      <w:kern w:val="0"/>
                      <w:szCs w:val="21"/>
                    </w:rPr>
                  </w:pP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北侧397m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vMerge w:val="continue"/>
                  <w:vAlign w:val="center"/>
                </w:tcPr>
                <w:p>
                  <w:pPr>
                    <w:autoSpaceDE w:val="0"/>
                    <w:autoSpaceDN w:val="0"/>
                    <w:adjustRightInd w:val="0"/>
                    <w:snapToGrid w:val="0"/>
                    <w:jc w:val="center"/>
                    <w:rPr>
                      <w:color w:val="auto"/>
                      <w:kern w:val="0"/>
                      <w:szCs w:val="21"/>
                    </w:rPr>
                  </w:pP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烂崾岘村</w:t>
                  </w:r>
                </w:p>
              </w:tc>
              <w:tc>
                <w:tcPr>
                  <w:tcW w:w="1466" w:type="dxa"/>
                  <w:vMerge w:val="continue"/>
                  <w:vAlign w:val="center"/>
                </w:tcPr>
                <w:p>
                  <w:pPr>
                    <w:autoSpaceDE w:val="0"/>
                    <w:autoSpaceDN w:val="0"/>
                    <w:adjustRightInd w:val="0"/>
                    <w:snapToGrid w:val="0"/>
                    <w:jc w:val="center"/>
                    <w:rPr>
                      <w:color w:val="auto"/>
                      <w:kern w:val="0"/>
                      <w:szCs w:val="21"/>
                    </w:rPr>
                  </w:pPr>
                </w:p>
              </w:tc>
              <w:tc>
                <w:tcPr>
                  <w:tcW w:w="1234" w:type="dxa"/>
                  <w:vMerge w:val="continue"/>
                  <w:vAlign w:val="center"/>
                </w:tcPr>
                <w:p>
                  <w:pPr>
                    <w:autoSpaceDE w:val="0"/>
                    <w:autoSpaceDN w:val="0"/>
                    <w:adjustRightInd w:val="0"/>
                    <w:snapToGrid w:val="0"/>
                    <w:jc w:val="center"/>
                    <w:rPr>
                      <w:color w:val="auto"/>
                      <w:kern w:val="0"/>
                      <w:szCs w:val="21"/>
                    </w:rPr>
                  </w:pP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东</w:t>
                  </w:r>
                  <w:r>
                    <w:rPr>
                      <w:color w:val="auto"/>
                      <w:kern w:val="0"/>
                      <w:szCs w:val="21"/>
                    </w:rPr>
                    <w:t>侧</w:t>
                  </w:r>
                  <w:r>
                    <w:rPr>
                      <w:rFonts w:hint="eastAsia"/>
                      <w:color w:val="auto"/>
                      <w:kern w:val="0"/>
                      <w:szCs w:val="21"/>
                    </w:rPr>
                    <w:t>20</w:t>
                  </w:r>
                  <w:r>
                    <w:rPr>
                      <w:color w:val="auto"/>
                      <w:kern w:val="0"/>
                      <w:szCs w:val="21"/>
                    </w:rPr>
                    <w:t>0</w:t>
                  </w:r>
                  <w:r>
                    <w:rPr>
                      <w:rFonts w:hint="eastAsia"/>
                      <w:color w:val="auto"/>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vAlign w:val="center"/>
                </w:tcPr>
                <w:p>
                  <w:pPr>
                    <w:autoSpaceDE w:val="0"/>
                    <w:autoSpaceDN w:val="0"/>
                    <w:adjustRightInd w:val="0"/>
                    <w:snapToGrid w:val="0"/>
                    <w:jc w:val="center"/>
                    <w:rPr>
                      <w:color w:val="auto"/>
                      <w:kern w:val="0"/>
                      <w:szCs w:val="21"/>
                    </w:rPr>
                  </w:pPr>
                  <w:r>
                    <w:rPr>
                      <w:rFonts w:hint="eastAsia"/>
                      <w:color w:val="auto"/>
                      <w:kern w:val="0"/>
                      <w:szCs w:val="21"/>
                    </w:rPr>
                    <w:t>声环境</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w:t>
                  </w:r>
                </w:p>
              </w:tc>
              <w:tc>
                <w:tcPr>
                  <w:tcW w:w="1466" w:type="dxa"/>
                  <w:vAlign w:val="center"/>
                </w:tcPr>
                <w:p>
                  <w:pPr>
                    <w:autoSpaceDE w:val="0"/>
                    <w:autoSpaceDN w:val="0"/>
                    <w:adjustRightInd w:val="0"/>
                    <w:snapToGrid w:val="0"/>
                    <w:jc w:val="center"/>
                    <w:rPr>
                      <w:color w:val="auto"/>
                      <w:kern w:val="0"/>
                      <w:szCs w:val="21"/>
                    </w:rPr>
                  </w:pPr>
                  <w:r>
                    <w:rPr>
                      <w:rFonts w:hint="eastAsia"/>
                      <w:color w:val="auto"/>
                      <w:kern w:val="0"/>
                      <w:szCs w:val="21"/>
                    </w:rPr>
                    <w:t>声环境</w:t>
                  </w:r>
                </w:p>
              </w:tc>
              <w:tc>
                <w:tcPr>
                  <w:tcW w:w="1234" w:type="dxa"/>
                  <w:vAlign w:val="center"/>
                </w:tcPr>
                <w:p>
                  <w:pPr>
                    <w:autoSpaceDE w:val="0"/>
                    <w:autoSpaceDN w:val="0"/>
                    <w:adjustRightInd w:val="0"/>
                    <w:snapToGrid w:val="0"/>
                    <w:jc w:val="center"/>
                    <w:rPr>
                      <w:color w:val="auto"/>
                      <w:kern w:val="0"/>
                      <w:szCs w:val="21"/>
                    </w:rPr>
                  </w:pPr>
                  <w:r>
                    <w:rPr>
                      <w:rFonts w:hint="eastAsia"/>
                      <w:color w:val="auto"/>
                      <w:kern w:val="0"/>
                      <w:szCs w:val="21"/>
                    </w:rPr>
                    <w:t>2类</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厂界外50m范围内无声环境保护目标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vAlign w:val="center"/>
                </w:tcPr>
                <w:p>
                  <w:pPr>
                    <w:autoSpaceDE w:val="0"/>
                    <w:autoSpaceDN w:val="0"/>
                    <w:adjustRightInd w:val="0"/>
                    <w:snapToGrid w:val="0"/>
                    <w:jc w:val="center"/>
                    <w:rPr>
                      <w:color w:val="auto"/>
                      <w:kern w:val="0"/>
                      <w:szCs w:val="21"/>
                    </w:rPr>
                  </w:pPr>
                  <w:r>
                    <w:rPr>
                      <w:rFonts w:hint="eastAsia"/>
                      <w:color w:val="auto"/>
                      <w:kern w:val="0"/>
                      <w:szCs w:val="21"/>
                    </w:rPr>
                    <w:t>地下水</w:t>
                  </w:r>
                </w:p>
              </w:tc>
              <w:tc>
                <w:tcPr>
                  <w:tcW w:w="1559" w:type="dxa"/>
                  <w:vAlign w:val="center"/>
                </w:tcPr>
                <w:p>
                  <w:pPr>
                    <w:autoSpaceDE w:val="0"/>
                    <w:autoSpaceDN w:val="0"/>
                    <w:adjustRightInd w:val="0"/>
                    <w:snapToGrid w:val="0"/>
                    <w:jc w:val="center"/>
                    <w:rPr>
                      <w:color w:val="auto"/>
                      <w:kern w:val="0"/>
                      <w:szCs w:val="21"/>
                    </w:rPr>
                  </w:pPr>
                  <w:r>
                    <w:rPr>
                      <w:color w:val="auto"/>
                      <w:kern w:val="0"/>
                      <w:szCs w:val="21"/>
                    </w:rPr>
                    <w:t>地下潜水层</w:t>
                  </w:r>
                </w:p>
              </w:tc>
              <w:tc>
                <w:tcPr>
                  <w:tcW w:w="1466" w:type="dxa"/>
                  <w:vAlign w:val="center"/>
                </w:tcPr>
                <w:p>
                  <w:pPr>
                    <w:autoSpaceDE w:val="0"/>
                    <w:autoSpaceDN w:val="0"/>
                    <w:adjustRightInd w:val="0"/>
                    <w:snapToGrid w:val="0"/>
                    <w:jc w:val="center"/>
                    <w:rPr>
                      <w:color w:val="auto"/>
                      <w:kern w:val="0"/>
                      <w:szCs w:val="21"/>
                    </w:rPr>
                  </w:pPr>
                  <w:r>
                    <w:rPr>
                      <w:rFonts w:hint="eastAsia"/>
                      <w:color w:val="auto"/>
                      <w:kern w:val="0"/>
                      <w:szCs w:val="21"/>
                    </w:rPr>
                    <w:t>水质</w:t>
                  </w:r>
                </w:p>
              </w:tc>
              <w:tc>
                <w:tcPr>
                  <w:tcW w:w="1234" w:type="dxa"/>
                  <w:vAlign w:val="center"/>
                </w:tcPr>
                <w:p>
                  <w:pPr>
                    <w:autoSpaceDE w:val="0"/>
                    <w:autoSpaceDN w:val="0"/>
                    <w:adjustRightInd w:val="0"/>
                    <w:snapToGrid w:val="0"/>
                    <w:jc w:val="center"/>
                    <w:rPr>
                      <w:color w:val="auto"/>
                      <w:kern w:val="0"/>
                      <w:szCs w:val="21"/>
                    </w:rPr>
                  </w:pPr>
                  <w:r>
                    <w:rPr>
                      <w:color w:val="auto"/>
                      <w:kern w:val="0"/>
                      <w:szCs w:val="21"/>
                    </w:rPr>
                    <w:t>III类</w:t>
                  </w:r>
                </w:p>
              </w:tc>
              <w:tc>
                <w:tcPr>
                  <w:tcW w:w="2560" w:type="dxa"/>
                  <w:vAlign w:val="center"/>
                </w:tcPr>
                <w:p>
                  <w:pPr>
                    <w:autoSpaceDE w:val="0"/>
                    <w:autoSpaceDN w:val="0"/>
                    <w:adjustRightInd w:val="0"/>
                    <w:snapToGrid w:val="0"/>
                    <w:jc w:val="center"/>
                    <w:rPr>
                      <w:color w:val="auto"/>
                      <w:kern w:val="0"/>
                      <w:szCs w:val="21"/>
                    </w:rPr>
                  </w:pPr>
                  <w:r>
                    <w:rPr>
                      <w:rFonts w:hint="eastAsia"/>
                      <w:color w:val="auto"/>
                      <w:kern w:val="0"/>
                      <w:szCs w:val="21"/>
                    </w:rPr>
                    <w:t>厂界外500m范围内无地下水集中式饮用水源和热水、矿泉水、温泉等特殊地下水资源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286" w:type="dxa"/>
                  <w:vAlign w:val="center"/>
                </w:tcPr>
                <w:p>
                  <w:pPr>
                    <w:autoSpaceDE w:val="0"/>
                    <w:autoSpaceDN w:val="0"/>
                    <w:adjustRightInd w:val="0"/>
                    <w:snapToGrid w:val="0"/>
                    <w:jc w:val="center"/>
                    <w:rPr>
                      <w:color w:val="auto"/>
                      <w:kern w:val="0"/>
                      <w:szCs w:val="21"/>
                    </w:rPr>
                  </w:pPr>
                  <w:r>
                    <w:rPr>
                      <w:color w:val="auto"/>
                      <w:kern w:val="0"/>
                      <w:szCs w:val="21"/>
                    </w:rPr>
                    <w:t>生态</w:t>
                  </w:r>
                </w:p>
              </w:tc>
              <w:tc>
                <w:tcPr>
                  <w:tcW w:w="1559" w:type="dxa"/>
                  <w:vAlign w:val="center"/>
                </w:tcPr>
                <w:p>
                  <w:pPr>
                    <w:autoSpaceDE w:val="0"/>
                    <w:autoSpaceDN w:val="0"/>
                    <w:adjustRightInd w:val="0"/>
                    <w:snapToGrid w:val="0"/>
                    <w:jc w:val="center"/>
                    <w:rPr>
                      <w:color w:val="auto"/>
                      <w:kern w:val="0"/>
                      <w:szCs w:val="21"/>
                    </w:rPr>
                  </w:pPr>
                  <w:r>
                    <w:rPr>
                      <w:rFonts w:hint="eastAsia"/>
                      <w:color w:val="auto"/>
                      <w:kern w:val="0"/>
                      <w:szCs w:val="21"/>
                    </w:rPr>
                    <w:t>/</w:t>
                  </w:r>
                </w:p>
              </w:tc>
              <w:tc>
                <w:tcPr>
                  <w:tcW w:w="5260" w:type="dxa"/>
                  <w:gridSpan w:val="3"/>
                  <w:vAlign w:val="center"/>
                </w:tcPr>
                <w:p>
                  <w:pPr>
                    <w:autoSpaceDE w:val="0"/>
                    <w:autoSpaceDN w:val="0"/>
                    <w:adjustRightInd w:val="0"/>
                    <w:snapToGrid w:val="0"/>
                    <w:jc w:val="center"/>
                    <w:rPr>
                      <w:color w:val="auto"/>
                      <w:kern w:val="0"/>
                      <w:szCs w:val="21"/>
                    </w:rPr>
                  </w:pPr>
                  <w:r>
                    <w:rPr>
                      <w:rFonts w:hint="eastAsia"/>
                      <w:color w:val="auto"/>
                      <w:kern w:val="0"/>
                      <w:szCs w:val="21"/>
                    </w:rPr>
                    <w:t>无</w:t>
                  </w:r>
                </w:p>
              </w:tc>
            </w:tr>
          </w:tbl>
          <w:p>
            <w:pPr>
              <w:pStyle w:val="17"/>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63" w:hRule="atLeast"/>
          <w:jc w:val="center"/>
        </w:trPr>
        <w:tc>
          <w:tcPr>
            <w:tcW w:w="702" w:type="dxa"/>
            <w:tcMar>
              <w:left w:w="28" w:type="dxa"/>
              <w:right w:w="28" w:type="dxa"/>
            </w:tcMar>
            <w:vAlign w:val="center"/>
          </w:tcPr>
          <w:p>
            <w:pPr>
              <w:adjustRightInd w:val="0"/>
              <w:snapToGrid w:val="0"/>
              <w:jc w:val="center"/>
              <w:rPr>
                <w:color w:val="auto"/>
                <w:kern w:val="0"/>
                <w:sz w:val="24"/>
              </w:rPr>
            </w:pPr>
            <w:r>
              <w:rPr>
                <w:color w:val="auto"/>
                <w:kern w:val="0"/>
                <w:sz w:val="24"/>
              </w:rPr>
              <w:t>污染</w:t>
            </w:r>
          </w:p>
          <w:p>
            <w:pPr>
              <w:adjustRightInd w:val="0"/>
              <w:snapToGrid w:val="0"/>
              <w:jc w:val="center"/>
              <w:rPr>
                <w:color w:val="auto"/>
                <w:kern w:val="0"/>
                <w:sz w:val="24"/>
              </w:rPr>
            </w:pPr>
            <w:r>
              <w:rPr>
                <w:color w:val="auto"/>
                <w:kern w:val="0"/>
                <w:sz w:val="24"/>
              </w:rPr>
              <w:t>物排</w:t>
            </w:r>
          </w:p>
          <w:p>
            <w:pPr>
              <w:adjustRightInd w:val="0"/>
              <w:snapToGrid w:val="0"/>
              <w:jc w:val="center"/>
              <w:rPr>
                <w:color w:val="auto"/>
                <w:kern w:val="0"/>
                <w:sz w:val="24"/>
              </w:rPr>
            </w:pPr>
            <w:r>
              <w:rPr>
                <w:color w:val="auto"/>
                <w:kern w:val="0"/>
                <w:sz w:val="24"/>
              </w:rPr>
              <w:t>放控</w:t>
            </w:r>
          </w:p>
          <w:p>
            <w:pPr>
              <w:adjustRightInd w:val="0"/>
              <w:snapToGrid w:val="0"/>
              <w:jc w:val="center"/>
              <w:rPr>
                <w:color w:val="auto"/>
                <w:kern w:val="0"/>
                <w:sz w:val="24"/>
              </w:rPr>
            </w:pPr>
            <w:r>
              <w:rPr>
                <w:color w:val="auto"/>
                <w:kern w:val="0"/>
                <w:sz w:val="24"/>
              </w:rPr>
              <w:t>制标</w:t>
            </w:r>
          </w:p>
          <w:p>
            <w:pPr>
              <w:adjustRightInd w:val="0"/>
              <w:snapToGrid w:val="0"/>
              <w:jc w:val="center"/>
              <w:rPr>
                <w:color w:val="auto"/>
                <w:kern w:val="0"/>
                <w:sz w:val="24"/>
              </w:rPr>
            </w:pPr>
            <w:r>
              <w:rPr>
                <w:color w:val="auto"/>
                <w:kern w:val="0"/>
                <w:sz w:val="24"/>
              </w:rPr>
              <w:t>准</w:t>
            </w:r>
          </w:p>
        </w:tc>
        <w:tc>
          <w:tcPr>
            <w:tcW w:w="8331" w:type="dxa"/>
            <w:vAlign w:val="center"/>
          </w:tcPr>
          <w:p>
            <w:pPr>
              <w:pStyle w:val="82"/>
              <w:spacing w:line="360" w:lineRule="auto"/>
              <w:ind w:firstLine="480"/>
              <w:rPr>
                <w:rFonts w:ascii="Times New Roman" w:hAnsi="Times New Roman"/>
                <w:color w:val="auto"/>
                <w:sz w:val="24"/>
              </w:rPr>
            </w:pPr>
            <w:r>
              <w:rPr>
                <w:rFonts w:ascii="Times New Roman" w:hAnsi="Times New Roman"/>
                <w:color w:val="auto"/>
                <w:sz w:val="24"/>
              </w:rPr>
              <w:t>项目污染物排放控制标准见表</w:t>
            </w:r>
            <w:r>
              <w:rPr>
                <w:rFonts w:hint="eastAsia" w:ascii="Times New Roman" w:hAnsi="Times New Roman"/>
                <w:color w:val="auto"/>
                <w:sz w:val="24"/>
              </w:rPr>
              <w:t>3-13</w:t>
            </w:r>
            <w:r>
              <w:rPr>
                <w:rFonts w:ascii="Times New Roman" w:hAnsi="Times New Roman"/>
                <w:color w:val="auto"/>
                <w:sz w:val="24"/>
              </w:rPr>
              <w:t>。</w:t>
            </w:r>
          </w:p>
          <w:p>
            <w:pPr>
              <w:pStyle w:val="82"/>
              <w:snapToGrid w:val="0"/>
              <w:spacing w:line="360" w:lineRule="auto"/>
              <w:ind w:firstLine="14" w:firstLineChars="7"/>
              <w:jc w:val="center"/>
              <w:rPr>
                <w:rFonts w:ascii="Times New Roman" w:hAnsi="Times New Roman" w:eastAsia="黑体"/>
                <w:color w:val="auto"/>
                <w:szCs w:val="21"/>
              </w:rPr>
            </w:pPr>
            <w:r>
              <w:rPr>
                <w:rFonts w:ascii="Times New Roman" w:hAnsi="Times New Roman" w:eastAsia="黑体"/>
                <w:color w:val="auto"/>
                <w:szCs w:val="21"/>
              </w:rPr>
              <w:t>表</w:t>
            </w:r>
            <w:r>
              <w:rPr>
                <w:rFonts w:hint="eastAsia" w:ascii="Times New Roman" w:hAnsi="Times New Roman" w:eastAsia="黑体"/>
                <w:color w:val="auto"/>
                <w:szCs w:val="21"/>
              </w:rPr>
              <w:t>3-13</w:t>
            </w:r>
            <w:r>
              <w:rPr>
                <w:rFonts w:ascii="Times New Roman" w:hAnsi="Times New Roman" w:eastAsia="黑体"/>
                <w:color w:val="auto"/>
                <w:szCs w:val="21"/>
              </w:rPr>
              <w:t xml:space="preserve">  污染物排放控制标准</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3105"/>
              <w:gridCol w:w="1127"/>
              <w:gridCol w:w="981"/>
              <w:gridCol w:w="717"/>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15" w:type="dxa"/>
                  <w:vMerge w:val="restart"/>
                  <w:tcBorders>
                    <w:top w:val="single" w:color="auto" w:sz="4" w:space="0"/>
                    <w:left w:val="single" w:color="auto" w:sz="4" w:space="0"/>
                    <w:right w:val="single" w:color="auto" w:sz="4" w:space="0"/>
                  </w:tcBorders>
                  <w:vAlign w:val="center"/>
                </w:tcPr>
                <w:p>
                  <w:pPr>
                    <w:autoSpaceDE w:val="0"/>
                    <w:autoSpaceDN w:val="0"/>
                    <w:adjustRightInd w:val="0"/>
                    <w:snapToGrid w:val="0"/>
                    <w:jc w:val="center"/>
                    <w:rPr>
                      <w:color w:val="auto"/>
                      <w:kern w:val="0"/>
                      <w:szCs w:val="21"/>
                    </w:rPr>
                  </w:pPr>
                  <w:r>
                    <w:rPr>
                      <w:rFonts w:hint="eastAsia"/>
                      <w:color w:val="auto"/>
                      <w:kern w:val="0"/>
                      <w:szCs w:val="21"/>
                    </w:rPr>
                    <w:t>类别</w:t>
                  </w:r>
                </w:p>
              </w:tc>
              <w:tc>
                <w:tcPr>
                  <w:tcW w:w="3105"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kern w:val="0"/>
                      <w:szCs w:val="21"/>
                    </w:rPr>
                  </w:pPr>
                  <w:r>
                    <w:rPr>
                      <w:rFonts w:hint="eastAsia"/>
                      <w:color w:val="auto"/>
                      <w:kern w:val="0"/>
                      <w:szCs w:val="21"/>
                    </w:rPr>
                    <w:t>标准名称</w:t>
                  </w:r>
                </w:p>
              </w:tc>
              <w:tc>
                <w:tcPr>
                  <w:tcW w:w="1127" w:type="dxa"/>
                  <w:vMerge w:val="restart"/>
                  <w:tcBorders>
                    <w:top w:val="single" w:color="auto" w:sz="4" w:space="0"/>
                    <w:left w:val="single" w:color="auto" w:sz="4" w:space="0"/>
                    <w:right w:val="single" w:color="auto" w:sz="4" w:space="0"/>
                  </w:tcBorders>
                  <w:vAlign w:val="center"/>
                </w:tcPr>
                <w:p>
                  <w:pPr>
                    <w:autoSpaceDE w:val="0"/>
                    <w:autoSpaceDN w:val="0"/>
                    <w:adjustRightInd w:val="0"/>
                    <w:snapToGrid w:val="0"/>
                    <w:jc w:val="center"/>
                    <w:rPr>
                      <w:color w:val="auto"/>
                      <w:kern w:val="0"/>
                      <w:szCs w:val="21"/>
                    </w:rPr>
                  </w:pPr>
                  <w:r>
                    <w:rPr>
                      <w:rFonts w:hint="eastAsia"/>
                      <w:color w:val="auto"/>
                      <w:kern w:val="0"/>
                      <w:szCs w:val="21"/>
                    </w:rPr>
                    <w:t>标准等级</w:t>
                  </w:r>
                </w:p>
              </w:tc>
              <w:tc>
                <w:tcPr>
                  <w:tcW w:w="2671"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kern w:val="0"/>
                      <w:szCs w:val="21"/>
                    </w:rPr>
                  </w:pPr>
                  <w:r>
                    <w:rPr>
                      <w:rFonts w:hint="eastAsia"/>
                      <w:color w:val="auto"/>
                      <w:kern w:val="0"/>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15" w:type="dxa"/>
                  <w:vMerge w:val="continue"/>
                  <w:tcBorders>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kern w:val="0"/>
                      <w:szCs w:val="21"/>
                    </w:rPr>
                  </w:pPr>
                </w:p>
              </w:tc>
              <w:tc>
                <w:tcPr>
                  <w:tcW w:w="3105"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kern w:val="0"/>
                      <w:szCs w:val="21"/>
                    </w:rPr>
                  </w:pPr>
                </w:p>
              </w:tc>
              <w:tc>
                <w:tcPr>
                  <w:tcW w:w="1127" w:type="dxa"/>
                  <w:vMerge w:val="continue"/>
                  <w:tcBorders>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kern w:val="0"/>
                      <w:szCs w:val="21"/>
                    </w:rPr>
                  </w:pPr>
                </w:p>
              </w:tc>
              <w:tc>
                <w:tcPr>
                  <w:tcW w:w="9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kern w:val="0"/>
                      <w:szCs w:val="21"/>
                    </w:rPr>
                  </w:pPr>
                  <w:r>
                    <w:rPr>
                      <w:rFonts w:hint="eastAsia"/>
                      <w:color w:val="auto"/>
                      <w:kern w:val="0"/>
                      <w:szCs w:val="21"/>
                    </w:rPr>
                    <w:t>指标</w:t>
                  </w:r>
                </w:p>
              </w:tc>
              <w:tc>
                <w:tcPr>
                  <w:tcW w:w="717"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rPr>
                    <w:t>限值</w:t>
                  </w: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15" w:type="dxa"/>
                  <w:vMerge w:val="restart"/>
                  <w:tcBorders>
                    <w:top w:val="nil"/>
                    <w:left w:val="single" w:color="auto" w:sz="4" w:space="0"/>
                    <w:right w:val="single" w:color="auto" w:sz="4" w:space="0"/>
                  </w:tcBorders>
                  <w:vAlign w:val="center"/>
                </w:tcPr>
                <w:p>
                  <w:pPr>
                    <w:autoSpaceDE w:val="0"/>
                    <w:autoSpaceDN w:val="0"/>
                    <w:adjustRightInd w:val="0"/>
                    <w:snapToGrid w:val="0"/>
                    <w:jc w:val="center"/>
                    <w:rPr>
                      <w:color w:val="auto"/>
                      <w:kern w:val="0"/>
                      <w:szCs w:val="21"/>
                    </w:rPr>
                  </w:pPr>
                  <w:r>
                    <w:rPr>
                      <w:rFonts w:hint="eastAsia"/>
                      <w:color w:val="auto"/>
                      <w:kern w:val="0"/>
                      <w:szCs w:val="21"/>
                    </w:rPr>
                    <w:t>废气</w:t>
                  </w:r>
                </w:p>
              </w:tc>
              <w:tc>
                <w:tcPr>
                  <w:tcW w:w="3105" w:type="dxa"/>
                  <w:tcBorders>
                    <w:top w:val="nil"/>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rPr>
                    <w:t>《施工场界扬尘排放限值》（DB61/1078-2017）</w:t>
                  </w:r>
                </w:p>
              </w:tc>
              <w:tc>
                <w:tcPr>
                  <w:tcW w:w="1127" w:type="dxa"/>
                  <w:tcBorders>
                    <w:top w:val="nil"/>
                    <w:left w:val="single" w:color="auto" w:sz="4" w:space="0"/>
                    <w:right w:val="single" w:color="auto" w:sz="4" w:space="0"/>
                  </w:tcBorders>
                  <w:vAlign w:val="center"/>
                </w:tcPr>
                <w:p>
                  <w:pPr>
                    <w:adjustRightInd w:val="0"/>
                    <w:snapToGrid w:val="0"/>
                    <w:spacing w:line="240" w:lineRule="exact"/>
                    <w:jc w:val="center"/>
                    <w:rPr>
                      <w:color w:val="auto"/>
                      <w:szCs w:val="21"/>
                    </w:rPr>
                  </w:pPr>
                  <w:r>
                    <w:rPr>
                      <w:color w:val="auto"/>
                    </w:rPr>
                    <w:t>表1</w:t>
                  </w:r>
                </w:p>
              </w:tc>
              <w:tc>
                <w:tcPr>
                  <w:tcW w:w="981" w:type="dxa"/>
                  <w:tcBorders>
                    <w:top w:val="single" w:color="auto" w:sz="4" w:space="0"/>
                    <w:left w:val="single" w:color="auto" w:sz="4" w:space="0"/>
                    <w:right w:val="single" w:color="auto" w:sz="4" w:space="0"/>
                  </w:tcBorders>
                  <w:vAlign w:val="center"/>
                </w:tcPr>
                <w:p>
                  <w:pPr>
                    <w:adjustRightInd w:val="0"/>
                    <w:snapToGrid w:val="0"/>
                    <w:spacing w:line="240" w:lineRule="exact"/>
                    <w:jc w:val="center"/>
                    <w:rPr>
                      <w:color w:val="auto"/>
                      <w:szCs w:val="21"/>
                    </w:rPr>
                  </w:pPr>
                  <w:r>
                    <w:rPr>
                      <w:color w:val="auto"/>
                    </w:rPr>
                    <w:t>TSP</w:t>
                  </w:r>
                </w:p>
              </w:tc>
              <w:tc>
                <w:tcPr>
                  <w:tcW w:w="717" w:type="dxa"/>
                  <w:tcBorders>
                    <w:top w:val="single" w:color="auto" w:sz="4" w:space="0"/>
                    <w:left w:val="single" w:color="auto" w:sz="4" w:space="0"/>
                    <w:right w:val="single" w:color="auto" w:sz="4" w:space="0"/>
                  </w:tcBorders>
                  <w:vAlign w:val="center"/>
                </w:tcPr>
                <w:p>
                  <w:pPr>
                    <w:adjustRightInd w:val="0"/>
                    <w:snapToGrid w:val="0"/>
                    <w:spacing w:line="240" w:lineRule="exact"/>
                    <w:jc w:val="center"/>
                    <w:rPr>
                      <w:color w:val="auto"/>
                      <w:szCs w:val="21"/>
                    </w:rPr>
                  </w:pPr>
                  <w:r>
                    <w:rPr>
                      <w:color w:val="auto"/>
                    </w:rPr>
                    <w:t>0.7</w:t>
                  </w: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rPr>
                    <w:t>mg/m</w:t>
                  </w:r>
                  <w:r>
                    <w:rPr>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15" w:type="dxa"/>
                  <w:vMerge w:val="continue"/>
                  <w:tcBorders>
                    <w:left w:val="single" w:color="auto" w:sz="4" w:space="0"/>
                    <w:right w:val="single" w:color="auto" w:sz="4" w:space="0"/>
                  </w:tcBorders>
                  <w:vAlign w:val="center"/>
                </w:tcPr>
                <w:p>
                  <w:pPr>
                    <w:autoSpaceDE w:val="0"/>
                    <w:autoSpaceDN w:val="0"/>
                    <w:adjustRightInd w:val="0"/>
                    <w:snapToGrid w:val="0"/>
                    <w:jc w:val="center"/>
                    <w:rPr>
                      <w:color w:val="auto"/>
                      <w:kern w:val="0"/>
                      <w:szCs w:val="21"/>
                    </w:rPr>
                  </w:pPr>
                </w:p>
              </w:tc>
              <w:tc>
                <w:tcPr>
                  <w:tcW w:w="3105" w:type="dxa"/>
                  <w:tcBorders>
                    <w:top w:val="nil"/>
                    <w:left w:val="single" w:color="auto" w:sz="4" w:space="0"/>
                    <w:bottom w:val="single" w:color="auto" w:sz="4" w:space="0"/>
                    <w:right w:val="single" w:color="auto" w:sz="4" w:space="0"/>
                  </w:tcBorders>
                  <w:vAlign w:val="center"/>
                </w:tcPr>
                <w:p>
                  <w:pPr>
                    <w:jc w:val="center"/>
                    <w:rPr>
                      <w:color w:val="auto"/>
                    </w:rPr>
                  </w:pPr>
                  <w:r>
                    <w:rPr>
                      <w:rFonts w:hint="eastAsia"/>
                      <w:color w:val="auto"/>
                    </w:rPr>
                    <w:t>《陆上石油天然气开采工业大气污染物排放标准》（GB39728-2020）</w:t>
                  </w:r>
                </w:p>
              </w:tc>
              <w:tc>
                <w:tcPr>
                  <w:tcW w:w="1127" w:type="dxa"/>
                  <w:tcBorders>
                    <w:top w:val="nil"/>
                    <w:left w:val="single" w:color="auto" w:sz="4" w:space="0"/>
                    <w:right w:val="single" w:color="auto" w:sz="4" w:space="0"/>
                  </w:tcBorders>
                  <w:vAlign w:val="center"/>
                </w:tcPr>
                <w:p>
                  <w:pPr>
                    <w:jc w:val="center"/>
                    <w:rPr>
                      <w:color w:val="auto"/>
                    </w:rPr>
                  </w:pPr>
                  <w:r>
                    <w:rPr>
                      <w:rFonts w:hint="eastAsia"/>
                      <w:color w:val="auto"/>
                    </w:rPr>
                    <w:t>厂界</w:t>
                  </w:r>
                </w:p>
              </w:tc>
              <w:tc>
                <w:tcPr>
                  <w:tcW w:w="981" w:type="dxa"/>
                  <w:tcBorders>
                    <w:top w:val="single" w:color="auto" w:sz="4" w:space="0"/>
                    <w:left w:val="single" w:color="auto" w:sz="4" w:space="0"/>
                    <w:right w:val="single" w:color="auto" w:sz="4" w:space="0"/>
                  </w:tcBorders>
                  <w:vAlign w:val="center"/>
                </w:tcPr>
                <w:p>
                  <w:pPr>
                    <w:jc w:val="center"/>
                    <w:rPr>
                      <w:color w:val="auto"/>
                    </w:rPr>
                  </w:pPr>
                  <w:r>
                    <w:rPr>
                      <w:rFonts w:hint="eastAsia"/>
                      <w:color w:val="auto"/>
                    </w:rPr>
                    <w:t>非甲烷总烃</w:t>
                  </w:r>
                </w:p>
              </w:tc>
              <w:tc>
                <w:tcPr>
                  <w:tcW w:w="717" w:type="dxa"/>
                  <w:tcBorders>
                    <w:top w:val="single" w:color="auto" w:sz="4" w:space="0"/>
                    <w:left w:val="single" w:color="auto" w:sz="4" w:space="0"/>
                    <w:right w:val="single" w:color="auto" w:sz="4" w:space="0"/>
                  </w:tcBorders>
                  <w:vAlign w:val="center"/>
                </w:tcPr>
                <w:p>
                  <w:pPr>
                    <w:jc w:val="center"/>
                    <w:rPr>
                      <w:color w:val="auto"/>
                    </w:rPr>
                  </w:pPr>
                  <w:r>
                    <w:rPr>
                      <w:rFonts w:hint="eastAsia"/>
                      <w:color w:val="auto"/>
                    </w:rPr>
                    <w:t>4.0</w:t>
                  </w:r>
                </w:p>
              </w:tc>
              <w:tc>
                <w:tcPr>
                  <w:tcW w:w="973"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rPr>
                  </w:pPr>
                  <w:r>
                    <w:rPr>
                      <w:color w:val="auto"/>
                    </w:rPr>
                    <w:t>mg/m</w:t>
                  </w:r>
                  <w:r>
                    <w:rPr>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115" w:type="dxa"/>
                  <w:vMerge w:val="restart"/>
                  <w:tcBorders>
                    <w:top w:val="nil"/>
                    <w:left w:val="single" w:color="000000" w:sz="4" w:space="0"/>
                    <w:right w:val="single" w:color="000000" w:sz="4" w:space="0"/>
                  </w:tcBorders>
                  <w:vAlign w:val="center"/>
                </w:tcPr>
                <w:p>
                  <w:pPr>
                    <w:jc w:val="center"/>
                    <w:rPr>
                      <w:color w:val="auto"/>
                      <w:szCs w:val="21"/>
                    </w:rPr>
                  </w:pPr>
                  <w:r>
                    <w:rPr>
                      <w:rFonts w:hint="eastAsia"/>
                      <w:color w:val="auto"/>
                    </w:rPr>
                    <w:t>噪声</w:t>
                  </w:r>
                </w:p>
              </w:tc>
              <w:tc>
                <w:tcPr>
                  <w:tcW w:w="3105" w:type="dxa"/>
                  <w:vMerge w:val="restart"/>
                  <w:tcBorders>
                    <w:top w:val="nil"/>
                    <w:left w:val="single" w:color="000000" w:sz="4" w:space="0"/>
                    <w:right w:val="single" w:color="000000" w:sz="4" w:space="0"/>
                  </w:tcBorders>
                  <w:vAlign w:val="center"/>
                </w:tcPr>
                <w:p>
                  <w:pPr>
                    <w:jc w:val="center"/>
                    <w:rPr>
                      <w:color w:val="auto"/>
                      <w:szCs w:val="21"/>
                    </w:rPr>
                  </w:pPr>
                  <w:r>
                    <w:rPr>
                      <w:bCs/>
                      <w:color w:val="auto"/>
                    </w:rPr>
                    <w:t>《建筑施工场界环境噪声排放标准》（GB12523-2011）</w:t>
                  </w:r>
                </w:p>
              </w:tc>
              <w:tc>
                <w:tcPr>
                  <w:tcW w:w="1127" w:type="dxa"/>
                  <w:vMerge w:val="restart"/>
                  <w:tcBorders>
                    <w:top w:val="nil"/>
                    <w:left w:val="single" w:color="000000" w:sz="4" w:space="0"/>
                    <w:right w:val="single" w:color="000000" w:sz="4" w:space="0"/>
                  </w:tcBorders>
                  <w:vAlign w:val="center"/>
                </w:tcPr>
                <w:p>
                  <w:pPr>
                    <w:jc w:val="center"/>
                    <w:rPr>
                      <w:bCs/>
                      <w:color w:val="auto"/>
                    </w:rPr>
                  </w:pPr>
                  <w:r>
                    <w:rPr>
                      <w:rFonts w:hint="eastAsia"/>
                      <w:color w:val="auto"/>
                      <w:kern w:val="0"/>
                      <w:szCs w:val="21"/>
                    </w:rPr>
                    <w:t>表1</w:t>
                  </w:r>
                </w:p>
              </w:tc>
              <w:tc>
                <w:tcPr>
                  <w:tcW w:w="981" w:type="dxa"/>
                  <w:tcBorders>
                    <w:top w:val="single" w:color="000000" w:sz="4" w:space="0"/>
                    <w:left w:val="single" w:color="000000" w:sz="4" w:space="0"/>
                    <w:bottom w:val="single" w:color="000000" w:sz="4" w:space="0"/>
                    <w:right w:val="single" w:color="auto" w:sz="4" w:space="0"/>
                  </w:tcBorders>
                  <w:vAlign w:val="center"/>
                </w:tcPr>
                <w:p>
                  <w:pPr>
                    <w:jc w:val="center"/>
                    <w:rPr>
                      <w:color w:val="auto"/>
                      <w:szCs w:val="21"/>
                    </w:rPr>
                  </w:pPr>
                  <w:r>
                    <w:rPr>
                      <w:color w:val="auto"/>
                    </w:rPr>
                    <w:t>昼间</w:t>
                  </w:r>
                </w:p>
              </w:tc>
              <w:tc>
                <w:tcPr>
                  <w:tcW w:w="717" w:type="dxa"/>
                  <w:tcBorders>
                    <w:top w:val="single" w:color="000000" w:sz="4" w:space="0"/>
                    <w:left w:val="nil"/>
                    <w:bottom w:val="single" w:color="000000" w:sz="4" w:space="0"/>
                    <w:right w:val="single" w:color="000000" w:sz="4" w:space="0"/>
                  </w:tcBorders>
                  <w:vAlign w:val="center"/>
                </w:tcPr>
                <w:p>
                  <w:pPr>
                    <w:jc w:val="center"/>
                    <w:rPr>
                      <w:color w:val="auto"/>
                      <w:szCs w:val="21"/>
                    </w:rPr>
                  </w:pPr>
                  <w:r>
                    <w:rPr>
                      <w:color w:val="auto"/>
                    </w:rPr>
                    <w:t>70</w:t>
                  </w:r>
                </w:p>
              </w:tc>
              <w:tc>
                <w:tcPr>
                  <w:tcW w:w="973" w:type="dxa"/>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115" w:type="dxa"/>
                  <w:vMerge w:val="continue"/>
                  <w:tcBorders>
                    <w:left w:val="single" w:color="000000" w:sz="4" w:space="0"/>
                    <w:right w:val="single" w:color="000000" w:sz="4" w:space="0"/>
                  </w:tcBorders>
                  <w:vAlign w:val="center"/>
                </w:tcPr>
                <w:p>
                  <w:pPr>
                    <w:widowControl/>
                    <w:jc w:val="left"/>
                    <w:rPr>
                      <w:color w:val="auto"/>
                      <w:szCs w:val="21"/>
                    </w:rPr>
                  </w:pPr>
                </w:p>
              </w:tc>
              <w:tc>
                <w:tcPr>
                  <w:tcW w:w="3105" w:type="dxa"/>
                  <w:vMerge w:val="continue"/>
                  <w:tcBorders>
                    <w:left w:val="single" w:color="000000" w:sz="4" w:space="0"/>
                    <w:bottom w:val="single" w:color="000000" w:sz="4" w:space="0"/>
                    <w:right w:val="single" w:color="000000" w:sz="4" w:space="0"/>
                  </w:tcBorders>
                  <w:vAlign w:val="center"/>
                </w:tcPr>
                <w:p>
                  <w:pPr>
                    <w:widowControl/>
                    <w:jc w:val="left"/>
                    <w:rPr>
                      <w:color w:val="auto"/>
                      <w:szCs w:val="21"/>
                    </w:rPr>
                  </w:pPr>
                </w:p>
              </w:tc>
              <w:tc>
                <w:tcPr>
                  <w:tcW w:w="1127" w:type="dxa"/>
                  <w:vMerge w:val="continue"/>
                  <w:tcBorders>
                    <w:left w:val="single" w:color="000000" w:sz="4" w:space="0"/>
                    <w:bottom w:val="single" w:color="000000" w:sz="4" w:space="0"/>
                    <w:right w:val="single" w:color="000000" w:sz="4" w:space="0"/>
                  </w:tcBorders>
                  <w:vAlign w:val="center"/>
                </w:tcPr>
                <w:p>
                  <w:pPr>
                    <w:widowControl/>
                    <w:jc w:val="left"/>
                    <w:rPr>
                      <w:color w:val="auto"/>
                      <w:szCs w:val="21"/>
                    </w:rPr>
                  </w:pPr>
                </w:p>
              </w:tc>
              <w:tc>
                <w:tcPr>
                  <w:tcW w:w="981" w:type="dxa"/>
                  <w:tcBorders>
                    <w:top w:val="single" w:color="000000" w:sz="4" w:space="0"/>
                    <w:left w:val="single" w:color="000000" w:sz="4" w:space="0"/>
                    <w:bottom w:val="single" w:color="000000" w:sz="4" w:space="0"/>
                    <w:right w:val="single" w:color="auto" w:sz="4" w:space="0"/>
                  </w:tcBorders>
                  <w:vAlign w:val="center"/>
                </w:tcPr>
                <w:p>
                  <w:pPr>
                    <w:jc w:val="center"/>
                    <w:rPr>
                      <w:color w:val="auto"/>
                      <w:szCs w:val="21"/>
                    </w:rPr>
                  </w:pPr>
                  <w:r>
                    <w:rPr>
                      <w:color w:val="auto"/>
                    </w:rPr>
                    <w:t>夜间</w:t>
                  </w:r>
                </w:p>
              </w:tc>
              <w:tc>
                <w:tcPr>
                  <w:tcW w:w="717" w:type="dxa"/>
                  <w:tcBorders>
                    <w:top w:val="single" w:color="000000" w:sz="4" w:space="0"/>
                    <w:left w:val="nil"/>
                    <w:bottom w:val="single" w:color="000000" w:sz="4" w:space="0"/>
                    <w:right w:val="single" w:color="000000" w:sz="4" w:space="0"/>
                  </w:tcBorders>
                  <w:vAlign w:val="center"/>
                </w:tcPr>
                <w:p>
                  <w:pPr>
                    <w:jc w:val="center"/>
                    <w:rPr>
                      <w:color w:val="auto"/>
                      <w:szCs w:val="21"/>
                    </w:rPr>
                  </w:pPr>
                  <w:r>
                    <w:rPr>
                      <w:color w:val="auto"/>
                    </w:rPr>
                    <w:t>55</w:t>
                  </w:r>
                </w:p>
              </w:tc>
              <w:tc>
                <w:tcPr>
                  <w:tcW w:w="973" w:type="dxa"/>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rPr>
                  </w:pPr>
                  <w:r>
                    <w:rPr>
                      <w:color w:val="auto"/>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115" w:type="dxa"/>
                  <w:vMerge w:val="continue"/>
                  <w:tcBorders>
                    <w:left w:val="single" w:color="000000" w:sz="4" w:space="0"/>
                    <w:right w:val="single" w:color="000000" w:sz="4" w:space="0"/>
                  </w:tcBorders>
                  <w:vAlign w:val="center"/>
                </w:tcPr>
                <w:p>
                  <w:pPr>
                    <w:jc w:val="center"/>
                    <w:rPr>
                      <w:color w:val="auto"/>
                      <w:szCs w:val="21"/>
                    </w:rPr>
                  </w:pPr>
                </w:p>
              </w:tc>
              <w:tc>
                <w:tcPr>
                  <w:tcW w:w="3105" w:type="dxa"/>
                  <w:vMerge w:val="restart"/>
                  <w:tcBorders>
                    <w:top w:val="nil"/>
                    <w:left w:val="single" w:color="auto" w:sz="4" w:space="0"/>
                    <w:bottom w:val="single" w:color="auto" w:sz="4" w:space="0"/>
                    <w:right w:val="single" w:color="auto" w:sz="4" w:space="0"/>
                  </w:tcBorders>
                  <w:vAlign w:val="center"/>
                </w:tcPr>
                <w:p>
                  <w:pPr>
                    <w:jc w:val="center"/>
                    <w:rPr>
                      <w:color w:val="auto"/>
                      <w:szCs w:val="21"/>
                    </w:rPr>
                  </w:pPr>
                  <w:r>
                    <w:rPr>
                      <w:color w:val="auto"/>
                    </w:rPr>
                    <w:t>《工业企业厂界环境噪声排放标准》（GB12348-2008）</w:t>
                  </w:r>
                </w:p>
              </w:tc>
              <w:tc>
                <w:tcPr>
                  <w:tcW w:w="1127" w:type="dxa"/>
                  <w:vMerge w:val="restart"/>
                  <w:tcBorders>
                    <w:top w:val="nil"/>
                    <w:left w:val="single" w:color="auto" w:sz="4" w:space="0"/>
                    <w:right w:val="single" w:color="auto" w:sz="4" w:space="0"/>
                  </w:tcBorders>
                  <w:vAlign w:val="center"/>
                </w:tcPr>
                <w:p>
                  <w:pPr>
                    <w:jc w:val="center"/>
                    <w:rPr>
                      <w:color w:val="auto"/>
                      <w:szCs w:val="21"/>
                    </w:rPr>
                  </w:pPr>
                  <w:r>
                    <w:rPr>
                      <w:rFonts w:hint="eastAsia"/>
                      <w:color w:val="auto"/>
                    </w:rPr>
                    <w:t>2</w:t>
                  </w:r>
                  <w:r>
                    <w:rPr>
                      <w:color w:val="auto"/>
                    </w:rPr>
                    <w:t>类</w:t>
                  </w:r>
                </w:p>
              </w:tc>
              <w:tc>
                <w:tcPr>
                  <w:tcW w:w="981"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rPr>
                    <w:t>昼间</w:t>
                  </w:r>
                </w:p>
              </w:tc>
              <w:tc>
                <w:tcPr>
                  <w:tcW w:w="717"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rPr>
                    <w:t>60</w:t>
                  </w: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115" w:type="dxa"/>
                  <w:vMerge w:val="continue"/>
                  <w:tcBorders>
                    <w:left w:val="single" w:color="000000" w:sz="4" w:space="0"/>
                    <w:bottom w:val="single" w:color="auto" w:sz="4" w:space="0"/>
                    <w:right w:val="single" w:color="000000" w:sz="4" w:space="0"/>
                  </w:tcBorders>
                  <w:vAlign w:val="center"/>
                </w:tcPr>
                <w:p>
                  <w:pPr>
                    <w:widowControl/>
                    <w:jc w:val="left"/>
                    <w:rPr>
                      <w:color w:val="auto"/>
                      <w:szCs w:val="21"/>
                    </w:rPr>
                  </w:pPr>
                </w:p>
              </w:tc>
              <w:tc>
                <w:tcPr>
                  <w:tcW w:w="3105" w:type="dxa"/>
                  <w:vMerge w:val="continue"/>
                  <w:tcBorders>
                    <w:top w:val="nil"/>
                    <w:left w:val="single" w:color="auto" w:sz="4" w:space="0"/>
                    <w:bottom w:val="single" w:color="auto" w:sz="4" w:space="0"/>
                    <w:right w:val="single" w:color="auto" w:sz="4" w:space="0"/>
                  </w:tcBorders>
                  <w:vAlign w:val="center"/>
                </w:tcPr>
                <w:p>
                  <w:pPr>
                    <w:widowControl/>
                    <w:jc w:val="left"/>
                    <w:rPr>
                      <w:color w:val="auto"/>
                      <w:szCs w:val="21"/>
                    </w:rPr>
                  </w:pPr>
                </w:p>
              </w:tc>
              <w:tc>
                <w:tcPr>
                  <w:tcW w:w="1127" w:type="dxa"/>
                  <w:vMerge w:val="continue"/>
                  <w:tcBorders>
                    <w:left w:val="single" w:color="auto" w:sz="4" w:space="0"/>
                    <w:bottom w:val="single" w:color="auto" w:sz="4" w:space="0"/>
                    <w:right w:val="single" w:color="auto" w:sz="4" w:space="0"/>
                  </w:tcBorders>
                  <w:vAlign w:val="center"/>
                </w:tcPr>
                <w:p>
                  <w:pPr>
                    <w:widowControl/>
                    <w:jc w:val="left"/>
                    <w:rPr>
                      <w:color w:val="auto"/>
                      <w:szCs w:val="21"/>
                    </w:rPr>
                  </w:pPr>
                </w:p>
              </w:tc>
              <w:tc>
                <w:tcPr>
                  <w:tcW w:w="981"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rPr>
                    <w:t>夜间</w:t>
                  </w:r>
                </w:p>
              </w:tc>
              <w:tc>
                <w:tcPr>
                  <w:tcW w:w="717"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rPr>
                    <w:t>50</w:t>
                  </w:r>
                </w:p>
              </w:tc>
              <w:tc>
                <w:tcPr>
                  <w:tcW w:w="973"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115" w:type="dxa"/>
                  <w:vMerge w:val="restart"/>
                  <w:tcBorders>
                    <w:top w:val="single" w:color="auto" w:sz="4" w:space="0"/>
                    <w:left w:val="single" w:color="auto" w:sz="4" w:space="0"/>
                    <w:right w:val="single" w:color="auto" w:sz="4" w:space="0"/>
                  </w:tcBorders>
                  <w:vAlign w:val="center"/>
                </w:tcPr>
                <w:p>
                  <w:pPr>
                    <w:jc w:val="center"/>
                    <w:rPr>
                      <w:color w:val="auto"/>
                      <w:szCs w:val="21"/>
                    </w:rPr>
                  </w:pPr>
                  <w:r>
                    <w:rPr>
                      <w:rFonts w:hint="eastAsia"/>
                      <w:color w:val="auto"/>
                    </w:rPr>
                    <w:t>固废</w:t>
                  </w:r>
                </w:p>
              </w:tc>
              <w:tc>
                <w:tcPr>
                  <w:tcW w:w="310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kern w:val="0"/>
                      <w:szCs w:val="21"/>
                    </w:rPr>
                    <w:t>《危险废物贮存污染控制标准》（GB18597-20</w:t>
                  </w:r>
                  <w:r>
                    <w:rPr>
                      <w:rFonts w:hint="eastAsia"/>
                      <w:color w:val="auto"/>
                      <w:kern w:val="0"/>
                      <w:szCs w:val="21"/>
                    </w:rPr>
                    <w:t>23</w:t>
                  </w:r>
                  <w:r>
                    <w:rPr>
                      <w:color w:val="auto"/>
                      <w:kern w:val="0"/>
                      <w:szCs w:val="21"/>
                    </w:rPr>
                    <w:t>）</w:t>
                  </w:r>
                </w:p>
              </w:tc>
              <w:tc>
                <w:tcPr>
                  <w:tcW w:w="3798" w:type="dxa"/>
                  <w:gridSpan w:val="4"/>
                  <w:tcBorders>
                    <w:top w:val="single" w:color="auto" w:sz="4" w:space="0"/>
                    <w:left w:val="single" w:color="auto" w:sz="4" w:space="0"/>
                    <w:right w:val="single" w:color="auto" w:sz="4" w:space="0"/>
                  </w:tcBorders>
                  <w:vAlign w:val="center"/>
                </w:tcPr>
                <w:p>
                  <w:pPr>
                    <w:jc w:val="center"/>
                    <w:rPr>
                      <w:color w:val="auto"/>
                    </w:rPr>
                  </w:pPr>
                  <w:r>
                    <w:rPr>
                      <w:rFonts w:hint="eastAsia"/>
                      <w:color w:val="auto"/>
                    </w:rPr>
                    <w:t>满足相关要求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5" w:type="dxa"/>
                  <w:vMerge w:val="continue"/>
                  <w:tcBorders>
                    <w:left w:val="single" w:color="auto" w:sz="4" w:space="0"/>
                    <w:right w:val="single" w:color="auto" w:sz="4" w:space="0"/>
                  </w:tcBorders>
                  <w:vAlign w:val="center"/>
                </w:tcPr>
                <w:p>
                  <w:pPr>
                    <w:jc w:val="center"/>
                    <w:rPr>
                      <w:color w:val="auto"/>
                      <w:szCs w:val="21"/>
                    </w:rPr>
                  </w:pPr>
                </w:p>
              </w:tc>
              <w:tc>
                <w:tcPr>
                  <w:tcW w:w="310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rPr>
                    <w:t>《一般工业固体废物贮存和填埋污染控制标准》（GB18599-2020）</w:t>
                  </w:r>
                </w:p>
              </w:tc>
              <w:tc>
                <w:tcPr>
                  <w:tcW w:w="3798" w:type="dxa"/>
                  <w:gridSpan w:val="4"/>
                  <w:tcBorders>
                    <w:left w:val="single" w:color="auto" w:sz="4" w:space="0"/>
                    <w:right w:val="single" w:color="auto" w:sz="4" w:space="0"/>
                  </w:tcBorders>
                  <w:vAlign w:val="center"/>
                </w:tcPr>
                <w:p>
                  <w:pPr>
                    <w:jc w:val="center"/>
                    <w:rPr>
                      <w:color w:val="auto"/>
                    </w:rPr>
                  </w:pPr>
                  <w:r>
                    <w:rPr>
                      <w:rFonts w:hint="eastAsia"/>
                      <w:color w:val="auto"/>
                    </w:rPr>
                    <w:t>满足相关要求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1115" w:type="dxa"/>
                  <w:vMerge w:val="continue"/>
                  <w:tcBorders>
                    <w:left w:val="single" w:color="auto" w:sz="4" w:space="0"/>
                    <w:bottom w:val="single" w:color="auto" w:sz="4" w:space="0"/>
                    <w:right w:val="single" w:color="auto" w:sz="4" w:space="0"/>
                  </w:tcBorders>
                  <w:vAlign w:val="center"/>
                </w:tcPr>
                <w:p>
                  <w:pPr>
                    <w:jc w:val="center"/>
                    <w:rPr>
                      <w:color w:val="auto"/>
                      <w:szCs w:val="21"/>
                    </w:rPr>
                  </w:pPr>
                </w:p>
              </w:tc>
              <w:tc>
                <w:tcPr>
                  <w:tcW w:w="310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rPr>
                    <w:t>《生活垃圾填埋场污染控制标准》（GB16889-2008）</w:t>
                  </w:r>
                </w:p>
              </w:tc>
              <w:tc>
                <w:tcPr>
                  <w:tcW w:w="3798" w:type="dxa"/>
                  <w:gridSpan w:val="4"/>
                  <w:tcBorders>
                    <w:left w:val="single" w:color="auto" w:sz="4" w:space="0"/>
                    <w:bottom w:val="single" w:color="auto" w:sz="4" w:space="0"/>
                    <w:right w:val="single" w:color="auto" w:sz="4" w:space="0"/>
                  </w:tcBorders>
                  <w:vAlign w:val="center"/>
                </w:tcPr>
                <w:p>
                  <w:pPr>
                    <w:jc w:val="center"/>
                    <w:rPr>
                      <w:color w:val="auto"/>
                    </w:rPr>
                  </w:pPr>
                  <w:r>
                    <w:rPr>
                      <w:rFonts w:hint="eastAsia"/>
                      <w:color w:val="auto"/>
                    </w:rPr>
                    <w:t>满足相关要求</w:t>
                  </w:r>
                </w:p>
              </w:tc>
            </w:tr>
          </w:tbl>
          <w:p>
            <w:pPr>
              <w:pStyle w:val="17"/>
              <w:ind w:firstLine="0"/>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1" w:hRule="atLeast"/>
          <w:jc w:val="center"/>
        </w:trPr>
        <w:tc>
          <w:tcPr>
            <w:tcW w:w="702" w:type="dxa"/>
            <w:vAlign w:val="center"/>
          </w:tcPr>
          <w:p>
            <w:pPr>
              <w:adjustRightInd w:val="0"/>
              <w:snapToGrid w:val="0"/>
              <w:jc w:val="center"/>
              <w:rPr>
                <w:color w:val="auto"/>
                <w:kern w:val="0"/>
                <w:sz w:val="24"/>
              </w:rPr>
            </w:pPr>
            <w:r>
              <w:rPr>
                <w:color w:val="auto"/>
                <w:kern w:val="0"/>
                <w:sz w:val="24"/>
              </w:rPr>
              <w:t>总量</w:t>
            </w:r>
          </w:p>
          <w:p>
            <w:pPr>
              <w:adjustRightInd w:val="0"/>
              <w:snapToGrid w:val="0"/>
              <w:jc w:val="center"/>
              <w:rPr>
                <w:color w:val="auto"/>
                <w:kern w:val="0"/>
                <w:sz w:val="24"/>
              </w:rPr>
            </w:pPr>
            <w:r>
              <w:rPr>
                <w:color w:val="auto"/>
                <w:kern w:val="0"/>
                <w:sz w:val="24"/>
              </w:rPr>
              <w:t>控制</w:t>
            </w:r>
          </w:p>
          <w:p>
            <w:pPr>
              <w:adjustRightInd w:val="0"/>
              <w:snapToGrid w:val="0"/>
              <w:jc w:val="center"/>
              <w:rPr>
                <w:color w:val="auto"/>
                <w:kern w:val="0"/>
                <w:sz w:val="24"/>
              </w:rPr>
            </w:pPr>
            <w:r>
              <w:rPr>
                <w:color w:val="auto"/>
                <w:kern w:val="0"/>
                <w:sz w:val="24"/>
              </w:rPr>
              <w:t>指标</w:t>
            </w:r>
          </w:p>
        </w:tc>
        <w:tc>
          <w:tcPr>
            <w:tcW w:w="8331" w:type="dxa"/>
            <w:vAlign w:val="center"/>
          </w:tcPr>
          <w:p>
            <w:pPr>
              <w:pStyle w:val="33"/>
              <w:ind w:left="0" w:leftChars="0" w:firstLine="0"/>
              <w:jc w:val="center"/>
              <w:rPr>
                <w:color w:val="auto"/>
              </w:rPr>
            </w:pPr>
            <w:r>
              <w:rPr>
                <w:rFonts w:hint="eastAsia"/>
                <w:color w:val="auto"/>
              </w:rPr>
              <w:t>无</w:t>
            </w:r>
          </w:p>
        </w:tc>
      </w:tr>
    </w:tbl>
    <w:p>
      <w:pPr>
        <w:pStyle w:val="30"/>
        <w:jc w:val="center"/>
        <w:outlineLvl w:val="0"/>
        <w:rPr>
          <w:rFonts w:ascii="Times New Roman" w:hAnsi="黑体" w:eastAsia="黑体"/>
          <w:snapToGrid w:val="0"/>
          <w:color w:val="auto"/>
          <w:sz w:val="30"/>
          <w:szCs w:val="30"/>
        </w:rPr>
        <w:sectPr>
          <w:pgSz w:w="11906" w:h="16838"/>
          <w:pgMar w:top="1701" w:right="1531" w:bottom="1701" w:left="1531" w:header="851" w:footer="851" w:gutter="0"/>
          <w:cols w:space="720" w:num="1"/>
          <w:docGrid w:linePitch="312" w:charSpace="0"/>
        </w:sectPr>
      </w:pPr>
    </w:p>
    <w:p>
      <w:pPr>
        <w:pStyle w:val="30"/>
        <w:jc w:val="center"/>
        <w:outlineLvl w:val="0"/>
        <w:rPr>
          <w:rFonts w:ascii="Times New Roman" w:hAnsi="Times New Roman" w:eastAsia="黑体"/>
          <w:snapToGrid w:val="0"/>
          <w:color w:val="auto"/>
          <w:sz w:val="30"/>
          <w:szCs w:val="30"/>
        </w:rPr>
      </w:pPr>
      <w:r>
        <w:rPr>
          <w:rFonts w:ascii="Times New Roman" w:hAnsi="黑体" w:eastAsia="黑体"/>
          <w:snapToGrid w:val="0"/>
          <w:color w:val="auto"/>
          <w:sz w:val="30"/>
          <w:szCs w:val="30"/>
        </w:rPr>
        <w:t>四、主要环境影响和保护措施</w:t>
      </w:r>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2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76" w:type="dxa"/>
            <w:tcMar>
              <w:left w:w="28" w:type="dxa"/>
              <w:right w:w="28" w:type="dxa"/>
            </w:tcMar>
            <w:vAlign w:val="center"/>
          </w:tcPr>
          <w:p>
            <w:pPr>
              <w:pStyle w:val="30"/>
              <w:adjustRightInd w:val="0"/>
              <w:snapToGrid w:val="0"/>
              <w:spacing w:before="0" w:beforeAutospacing="0" w:after="0" w:afterAutospacing="0"/>
              <w:jc w:val="center"/>
              <w:rPr>
                <w:rFonts w:ascii="Times New Roman" w:hAnsi="Times New Roman"/>
                <w:color w:val="auto"/>
                <w:kern w:val="2"/>
                <w:szCs w:val="24"/>
              </w:rPr>
            </w:pPr>
            <w:bookmarkStart w:id="0" w:name="_Hlk88569467"/>
            <w:r>
              <w:rPr>
                <w:rFonts w:ascii="Times New Roman"/>
                <w:color w:val="auto"/>
                <w:kern w:val="2"/>
                <w:szCs w:val="24"/>
              </w:rPr>
              <w:t>施工</w:t>
            </w:r>
          </w:p>
          <w:p>
            <w:pPr>
              <w:pStyle w:val="30"/>
              <w:adjustRightInd w:val="0"/>
              <w:snapToGrid w:val="0"/>
              <w:spacing w:before="0" w:beforeAutospacing="0" w:after="0" w:afterAutospacing="0"/>
              <w:jc w:val="center"/>
              <w:rPr>
                <w:rFonts w:ascii="Times New Roman" w:hAnsi="Times New Roman"/>
                <w:color w:val="auto"/>
                <w:kern w:val="2"/>
                <w:szCs w:val="24"/>
              </w:rPr>
            </w:pPr>
            <w:r>
              <w:rPr>
                <w:rFonts w:ascii="Times New Roman"/>
                <w:color w:val="auto"/>
                <w:kern w:val="2"/>
                <w:szCs w:val="24"/>
              </w:rPr>
              <w:t>期环</w:t>
            </w:r>
          </w:p>
          <w:p>
            <w:pPr>
              <w:pStyle w:val="30"/>
              <w:adjustRightInd w:val="0"/>
              <w:snapToGrid w:val="0"/>
              <w:spacing w:before="0" w:beforeAutospacing="0" w:after="0" w:afterAutospacing="0"/>
              <w:jc w:val="center"/>
              <w:rPr>
                <w:rFonts w:ascii="Times New Roman" w:hAnsi="Times New Roman"/>
                <w:color w:val="auto"/>
                <w:kern w:val="2"/>
                <w:szCs w:val="24"/>
              </w:rPr>
            </w:pPr>
            <w:r>
              <w:rPr>
                <w:rFonts w:ascii="Times New Roman"/>
                <w:color w:val="auto"/>
                <w:kern w:val="2"/>
                <w:szCs w:val="24"/>
              </w:rPr>
              <w:t>境保</w:t>
            </w:r>
          </w:p>
          <w:p>
            <w:pPr>
              <w:pStyle w:val="30"/>
              <w:adjustRightInd w:val="0"/>
              <w:snapToGrid w:val="0"/>
              <w:spacing w:before="0" w:beforeAutospacing="0" w:after="0" w:afterAutospacing="0"/>
              <w:jc w:val="center"/>
              <w:rPr>
                <w:rFonts w:ascii="Times New Roman" w:hAnsi="Times New Roman"/>
                <w:color w:val="auto"/>
                <w:kern w:val="2"/>
                <w:szCs w:val="24"/>
              </w:rPr>
            </w:pPr>
            <w:r>
              <w:rPr>
                <w:rFonts w:ascii="Times New Roman"/>
                <w:color w:val="auto"/>
                <w:kern w:val="2"/>
                <w:szCs w:val="24"/>
              </w:rPr>
              <w:t>护措</w:t>
            </w:r>
          </w:p>
          <w:p>
            <w:pPr>
              <w:pStyle w:val="30"/>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color w:val="auto"/>
                <w:kern w:val="2"/>
                <w:szCs w:val="24"/>
              </w:rPr>
              <w:t>施</w:t>
            </w:r>
          </w:p>
        </w:tc>
        <w:tc>
          <w:tcPr>
            <w:tcW w:w="8204" w:type="dxa"/>
            <w:vAlign w:val="center"/>
          </w:tcPr>
          <w:p>
            <w:pPr>
              <w:pStyle w:val="81"/>
              <w:spacing w:after="0" w:line="360" w:lineRule="auto"/>
              <w:ind w:firstLine="482" w:firstLineChars="200"/>
              <w:rPr>
                <w:b/>
                <w:color w:val="auto"/>
                <w:sz w:val="24"/>
              </w:rPr>
            </w:pPr>
            <w:r>
              <w:rPr>
                <w:b/>
                <w:color w:val="auto"/>
                <w:sz w:val="24"/>
              </w:rPr>
              <w:t>1、</w:t>
            </w:r>
            <w:r>
              <w:rPr>
                <w:rFonts w:hint="eastAsia"/>
                <w:b/>
                <w:color w:val="auto"/>
                <w:sz w:val="24"/>
              </w:rPr>
              <w:t>施工扬尘</w:t>
            </w:r>
          </w:p>
          <w:p>
            <w:pPr>
              <w:spacing w:line="360" w:lineRule="auto"/>
              <w:ind w:firstLine="480" w:firstLineChars="200"/>
              <w:rPr>
                <w:color w:val="auto"/>
                <w:sz w:val="24"/>
              </w:rPr>
            </w:pPr>
            <w:r>
              <w:rPr>
                <w:color w:val="auto"/>
                <w:sz w:val="24"/>
              </w:rPr>
              <w:t>为了最大限度减小施工扬尘对环境的影响，环评要求项目应当按照《陕西省大气污染防治条例》、</w:t>
            </w:r>
            <w:r>
              <w:rPr>
                <w:rFonts w:hint="eastAsia"/>
                <w:color w:val="auto"/>
                <w:sz w:val="24"/>
              </w:rPr>
              <w:t>《</w:t>
            </w:r>
            <w:r>
              <w:rPr>
                <w:color w:val="auto"/>
                <w:sz w:val="24"/>
              </w:rPr>
              <w:t>榆林市2023年生态环境保护三十项攻坚行动方案》（榆办字〔2023〕33号）</w:t>
            </w:r>
            <w:r>
              <w:rPr>
                <w:rFonts w:hint="eastAsia"/>
                <w:color w:val="auto"/>
                <w:sz w:val="24"/>
              </w:rPr>
              <w:t>等</w:t>
            </w:r>
            <w:r>
              <w:rPr>
                <w:color w:val="auto"/>
                <w:sz w:val="24"/>
              </w:rPr>
              <w:t>要求进行施工，施工期采取的具体措施要求如下：</w:t>
            </w:r>
          </w:p>
          <w:p>
            <w:pPr>
              <w:spacing w:line="360" w:lineRule="auto"/>
              <w:ind w:firstLine="480" w:firstLineChars="200"/>
              <w:rPr>
                <w:color w:val="auto"/>
                <w:sz w:val="24"/>
              </w:rPr>
            </w:pPr>
            <w:r>
              <w:rPr>
                <w:rFonts w:hint="eastAsia"/>
                <w:color w:val="auto"/>
                <w:sz w:val="24"/>
              </w:rPr>
              <w:t>⑴ 施工场地</w:t>
            </w:r>
            <w:r>
              <w:rPr>
                <w:color w:val="auto"/>
                <w:sz w:val="24"/>
              </w:rPr>
              <w:t>做到</w:t>
            </w:r>
            <w:r>
              <w:rPr>
                <w:rFonts w:hint="eastAsia"/>
                <w:color w:val="auto"/>
                <w:sz w:val="24"/>
              </w:rPr>
              <w:t>工地周边围挡、物料裸土覆盖、土方开挖（拆迁）湿法作业、路面硬化、渣土车辆密闭运输“六个百分之百”</w:t>
            </w:r>
            <w:r>
              <w:rPr>
                <w:color w:val="auto"/>
                <w:sz w:val="24"/>
              </w:rPr>
              <w:t>。地基开挖、桩基施工、渣土运输等施工阶段，</w:t>
            </w:r>
            <w:r>
              <w:rPr>
                <w:rFonts w:hint="eastAsia"/>
                <w:color w:val="auto"/>
                <w:sz w:val="24"/>
              </w:rPr>
              <w:t>采取</w:t>
            </w:r>
            <w:r>
              <w:rPr>
                <w:color w:val="auto"/>
                <w:sz w:val="24"/>
              </w:rPr>
              <w:t>洒水、覆盖、冲洗等防尘措施。</w:t>
            </w:r>
          </w:p>
          <w:p>
            <w:pPr>
              <w:spacing w:line="360" w:lineRule="auto"/>
              <w:ind w:firstLine="480" w:firstLineChars="200"/>
              <w:rPr>
                <w:color w:val="auto"/>
                <w:sz w:val="24"/>
              </w:rPr>
            </w:pPr>
            <w:r>
              <w:rPr>
                <w:rFonts w:hint="eastAsia"/>
                <w:color w:val="auto"/>
                <w:sz w:val="24"/>
              </w:rPr>
              <w:t>⑵</w:t>
            </w:r>
            <w:r>
              <w:rPr>
                <w:color w:val="auto"/>
                <w:sz w:val="24"/>
              </w:rPr>
              <w:t xml:space="preserve"> 控制道路扬尘污染。加强渣土车运输监管，车辆必须全部安装卫星定位系统，杜绝超速、超高装载、带泥上路、抛洒泄漏等现象。运输车辆应保持工况良好，采取遮盖、密闭措施；及时清扫散落在路面上的泥土和建筑材料，定时洒水压尘，减少运输扬尘。</w:t>
            </w:r>
          </w:p>
          <w:p>
            <w:pPr>
              <w:spacing w:line="360" w:lineRule="auto"/>
              <w:ind w:firstLine="480" w:firstLineChars="200"/>
              <w:rPr>
                <w:color w:val="auto"/>
                <w:sz w:val="24"/>
              </w:rPr>
            </w:pPr>
            <w:r>
              <w:rPr>
                <w:rFonts w:hint="eastAsia"/>
                <w:color w:val="auto"/>
                <w:sz w:val="24"/>
              </w:rPr>
              <w:t>⑶</w:t>
            </w:r>
            <w:r>
              <w:rPr>
                <w:color w:val="auto"/>
                <w:sz w:val="24"/>
              </w:rPr>
              <w:t xml:space="preserve"> 加强物料堆场扬尘监管。施工现场尽量实施建材料统一堆放管理，并尽量减少搬运环节，搬运时防止包装袋破裂。遇恶劣天气加蓬覆盖，必要时设围栏，并定时洒水防尘。减少堆存量并及时利用。</w:t>
            </w:r>
          </w:p>
          <w:p>
            <w:pPr>
              <w:spacing w:line="360" w:lineRule="auto"/>
              <w:ind w:firstLine="480" w:firstLineChars="200"/>
              <w:rPr>
                <w:color w:val="auto"/>
                <w:sz w:val="24"/>
              </w:rPr>
            </w:pPr>
            <w:r>
              <w:rPr>
                <w:rFonts w:hint="eastAsia"/>
                <w:color w:val="auto"/>
                <w:sz w:val="24"/>
              </w:rPr>
              <w:t>⑷</w:t>
            </w:r>
            <w:r>
              <w:rPr>
                <w:color w:val="auto"/>
                <w:sz w:val="24"/>
              </w:rPr>
              <w:t xml:space="preserve"> 严格按照榆林市有关控制扬尘污染等规定，强化施工期环境管理</w:t>
            </w:r>
            <w:r>
              <w:rPr>
                <w:rFonts w:hint="eastAsia"/>
                <w:color w:val="auto"/>
                <w:sz w:val="24"/>
              </w:rPr>
              <w:t>,</w:t>
            </w:r>
            <w:r>
              <w:rPr>
                <w:color w:val="auto"/>
                <w:sz w:val="24"/>
              </w:rPr>
              <w:t>加强全员环保意识宣传和教育，制定合理的施工计划，坚决杜绝粗放式施工现象发生。</w:t>
            </w:r>
          </w:p>
          <w:p>
            <w:pPr>
              <w:spacing w:line="360" w:lineRule="auto"/>
              <w:ind w:firstLine="480" w:firstLineChars="200"/>
              <w:rPr>
                <w:color w:val="auto"/>
                <w:sz w:val="24"/>
              </w:rPr>
            </w:pPr>
            <w:r>
              <w:rPr>
                <w:rFonts w:hint="eastAsia"/>
                <w:color w:val="auto"/>
                <w:sz w:val="24"/>
              </w:rPr>
              <w:t>⑸</w:t>
            </w:r>
            <w:r>
              <w:rPr>
                <w:color w:val="auto"/>
                <w:sz w:val="24"/>
              </w:rPr>
              <w:t xml:space="preserve"> 对作业面和土堆适当喷水，使其保持一定湿度，以减少扬尘量；施工弃土及建筑垃圾要及时运走，以防长期堆放表面干燥而起尘或被雨水冲刷。</w:t>
            </w:r>
          </w:p>
          <w:p>
            <w:pPr>
              <w:spacing w:line="360" w:lineRule="auto"/>
              <w:ind w:firstLine="480" w:firstLineChars="200"/>
              <w:rPr>
                <w:color w:val="auto"/>
                <w:sz w:val="24"/>
              </w:rPr>
            </w:pPr>
            <w:r>
              <w:rPr>
                <w:rFonts w:hint="eastAsia"/>
                <w:color w:val="auto"/>
                <w:sz w:val="24"/>
              </w:rPr>
              <w:t>⑹</w:t>
            </w:r>
            <w:r>
              <w:rPr>
                <w:color w:val="auto"/>
                <w:sz w:val="24"/>
              </w:rPr>
              <w:t xml:space="preserve"> 遇有4级以上大风天气，停止土方施工，并做好遮掩工作，最大限度地减少扬尘；在大风日加大洒水量及洒水次数。</w:t>
            </w:r>
          </w:p>
          <w:p>
            <w:pPr>
              <w:spacing w:line="360" w:lineRule="auto"/>
              <w:ind w:firstLine="480" w:firstLineChars="200"/>
              <w:rPr>
                <w:color w:val="auto"/>
                <w:sz w:val="24"/>
              </w:rPr>
            </w:pPr>
            <w:r>
              <w:rPr>
                <w:rFonts w:hint="eastAsia"/>
                <w:color w:val="auto"/>
                <w:sz w:val="24"/>
              </w:rPr>
              <w:t xml:space="preserve">⑺ </w:t>
            </w:r>
            <w:r>
              <w:rPr>
                <w:color w:val="auto"/>
                <w:sz w:val="24"/>
              </w:rPr>
              <w:t>在</w:t>
            </w:r>
            <w:r>
              <w:rPr>
                <w:rFonts w:hint="eastAsia"/>
                <w:color w:val="auto"/>
                <w:sz w:val="24"/>
              </w:rPr>
              <w:t>厂界周边</w:t>
            </w:r>
            <w:r>
              <w:rPr>
                <w:color w:val="auto"/>
                <w:sz w:val="24"/>
              </w:rPr>
              <w:t>设置工程概况标志牌，标志牌上必须公布扬尘投诉举报电话，举报电话应包括施工企业电话和主管部门电话。</w:t>
            </w:r>
          </w:p>
          <w:p>
            <w:pPr>
              <w:spacing w:line="360" w:lineRule="auto"/>
              <w:ind w:firstLine="482" w:firstLineChars="200"/>
              <w:rPr>
                <w:b/>
                <w:color w:val="auto"/>
                <w:sz w:val="24"/>
              </w:rPr>
            </w:pPr>
            <w:r>
              <w:rPr>
                <w:b/>
                <w:color w:val="auto"/>
                <w:sz w:val="24"/>
              </w:rPr>
              <w:t>2、</w:t>
            </w:r>
            <w:r>
              <w:rPr>
                <w:rFonts w:hint="eastAsia"/>
                <w:b/>
                <w:color w:val="auto"/>
                <w:sz w:val="24"/>
              </w:rPr>
              <w:t>废水</w:t>
            </w:r>
          </w:p>
          <w:p>
            <w:pPr>
              <w:spacing w:line="360" w:lineRule="auto"/>
              <w:ind w:firstLine="480" w:firstLineChars="200"/>
              <w:rPr>
                <w:color w:val="auto"/>
                <w:sz w:val="24"/>
              </w:rPr>
            </w:pPr>
            <w:r>
              <w:rPr>
                <w:rFonts w:hint="eastAsia" w:ascii="宋体" w:hAnsi="宋体" w:cs="宋体"/>
                <w:color w:val="auto"/>
                <w:sz w:val="24"/>
              </w:rPr>
              <w:t>⑴</w:t>
            </w:r>
            <w:r>
              <w:rPr>
                <w:rFonts w:hint="eastAsia"/>
                <w:color w:val="auto"/>
                <w:sz w:val="24"/>
              </w:rPr>
              <w:t xml:space="preserve"> </w:t>
            </w:r>
            <w:r>
              <w:rPr>
                <w:color w:val="auto"/>
                <w:sz w:val="24"/>
              </w:rPr>
              <w:t>施工废水</w:t>
            </w:r>
          </w:p>
          <w:p>
            <w:pPr>
              <w:spacing w:line="360" w:lineRule="auto"/>
              <w:ind w:firstLine="480" w:firstLineChars="200"/>
              <w:rPr>
                <w:bCs/>
                <w:color w:val="auto"/>
                <w:sz w:val="24"/>
              </w:rPr>
            </w:pPr>
            <w:r>
              <w:rPr>
                <w:rFonts w:hint="eastAsia"/>
                <w:bCs/>
                <w:color w:val="auto"/>
                <w:sz w:val="24"/>
              </w:rPr>
              <w:t>① 严格执行《建设工程施工场地文明施工及环境管理暂行规定》，对地面排水应进行有组织设计、收集回用，严禁乱排、乱流污染道路、水体；</w:t>
            </w:r>
          </w:p>
          <w:p>
            <w:pPr>
              <w:spacing w:line="360" w:lineRule="auto"/>
              <w:ind w:firstLine="480" w:firstLineChars="200"/>
              <w:rPr>
                <w:bCs/>
                <w:color w:val="auto"/>
                <w:sz w:val="24"/>
              </w:rPr>
            </w:pPr>
            <w:r>
              <w:rPr>
                <w:rFonts w:hint="eastAsia"/>
                <w:bCs/>
                <w:color w:val="auto"/>
                <w:sz w:val="24"/>
              </w:rPr>
              <w:t>② 对施工场地设置的临时沉淀池等要按照规范进行修建，地面要进行防渗硬化，防止生产废水对地下水造成污染。</w:t>
            </w:r>
          </w:p>
          <w:p>
            <w:pPr>
              <w:adjustRightInd w:val="0"/>
              <w:snapToGrid w:val="0"/>
              <w:spacing w:line="360" w:lineRule="auto"/>
              <w:ind w:firstLine="480" w:firstLineChars="200"/>
              <w:rPr>
                <w:color w:val="auto"/>
                <w:sz w:val="24"/>
              </w:rPr>
            </w:pPr>
            <w:r>
              <w:rPr>
                <w:rFonts w:hint="eastAsia" w:ascii="宋体" w:hAnsi="宋体" w:cs="宋体"/>
                <w:color w:val="auto"/>
                <w:sz w:val="24"/>
              </w:rPr>
              <w:t>⑵</w:t>
            </w:r>
            <w:r>
              <w:rPr>
                <w:color w:val="auto"/>
                <w:sz w:val="24"/>
              </w:rPr>
              <w:t xml:space="preserve"> 生活污水</w:t>
            </w:r>
          </w:p>
          <w:p>
            <w:pPr>
              <w:spacing w:line="360" w:lineRule="auto"/>
              <w:ind w:firstLine="480" w:firstLineChars="200"/>
              <w:rPr>
                <w:bCs/>
                <w:color w:val="auto"/>
                <w:sz w:val="24"/>
              </w:rPr>
            </w:pPr>
            <w:r>
              <w:rPr>
                <w:rFonts w:hint="eastAsia"/>
                <w:bCs/>
                <w:color w:val="auto"/>
                <w:sz w:val="24"/>
              </w:rPr>
              <w:t>员工粪污水进入防渗旱厕，由附近村民定期清掏肥田；盥洗水用于场内洒水抑尘、绿化用水。</w:t>
            </w:r>
          </w:p>
          <w:p>
            <w:pPr>
              <w:adjustRightInd w:val="0"/>
              <w:spacing w:line="360" w:lineRule="auto"/>
              <w:ind w:firstLine="482" w:firstLineChars="200"/>
              <w:rPr>
                <w:b/>
                <w:color w:val="auto"/>
                <w:sz w:val="24"/>
              </w:rPr>
            </w:pPr>
            <w:r>
              <w:rPr>
                <w:b/>
                <w:color w:val="auto"/>
                <w:sz w:val="24"/>
              </w:rPr>
              <w:t>3、</w:t>
            </w:r>
            <w:r>
              <w:rPr>
                <w:rFonts w:hint="eastAsia"/>
                <w:b/>
                <w:color w:val="auto"/>
                <w:sz w:val="24"/>
              </w:rPr>
              <w:t>噪声</w:t>
            </w:r>
          </w:p>
          <w:p>
            <w:pPr>
              <w:spacing w:line="360" w:lineRule="auto"/>
              <w:ind w:firstLine="480" w:firstLineChars="200"/>
              <w:rPr>
                <w:bCs/>
                <w:color w:val="auto"/>
                <w:sz w:val="24"/>
              </w:rPr>
            </w:pPr>
            <w:r>
              <w:rPr>
                <w:rFonts w:hint="eastAsia"/>
                <w:bCs/>
                <w:color w:val="auto"/>
                <w:sz w:val="24"/>
              </w:rPr>
              <w:t xml:space="preserve">⑴ </w:t>
            </w:r>
            <w:r>
              <w:rPr>
                <w:bCs/>
                <w:color w:val="auto"/>
                <w:sz w:val="24"/>
              </w:rPr>
              <w:t>合理布置施工场地，安排施工方式，控制环境噪声污染</w:t>
            </w:r>
            <w:r>
              <w:rPr>
                <w:rFonts w:hint="eastAsia"/>
                <w:bCs/>
                <w:color w:val="auto"/>
                <w:sz w:val="24"/>
              </w:rPr>
              <w:t>。</w:t>
            </w:r>
          </w:p>
          <w:p>
            <w:pPr>
              <w:spacing w:line="360" w:lineRule="auto"/>
              <w:ind w:firstLine="480" w:firstLineChars="200"/>
              <w:rPr>
                <w:bCs/>
                <w:color w:val="auto"/>
                <w:sz w:val="24"/>
              </w:rPr>
            </w:pPr>
            <w:r>
              <w:rPr>
                <w:rFonts w:hint="eastAsia"/>
                <w:bCs/>
                <w:color w:val="auto"/>
                <w:sz w:val="24"/>
              </w:rPr>
              <w:t xml:space="preserve">① </w:t>
            </w:r>
            <w:r>
              <w:rPr>
                <w:bCs/>
                <w:color w:val="auto"/>
                <w:sz w:val="24"/>
              </w:rPr>
              <w:t>选用低噪声施工机械，严格限制或禁止使用高噪声设备</w:t>
            </w:r>
            <w:r>
              <w:rPr>
                <w:rFonts w:hint="eastAsia"/>
                <w:bCs/>
                <w:color w:val="auto"/>
                <w:sz w:val="24"/>
              </w:rPr>
              <w:t>。</w:t>
            </w:r>
          </w:p>
          <w:p>
            <w:pPr>
              <w:spacing w:line="360" w:lineRule="auto"/>
              <w:ind w:firstLine="480" w:firstLineChars="200"/>
              <w:rPr>
                <w:bCs/>
                <w:color w:val="auto"/>
                <w:sz w:val="24"/>
              </w:rPr>
            </w:pPr>
            <w:r>
              <w:rPr>
                <w:rFonts w:hint="eastAsia"/>
                <w:bCs/>
                <w:color w:val="auto"/>
                <w:sz w:val="24"/>
              </w:rPr>
              <w:t xml:space="preserve">② </w:t>
            </w:r>
            <w:r>
              <w:rPr>
                <w:bCs/>
                <w:color w:val="auto"/>
                <w:sz w:val="24"/>
              </w:rPr>
              <w:t>要求使用商品混凝土。与施工场地设置混凝土搅拌机相比，商品混凝土具有占地少、施工量小、施工方便、噪声污染小等特点，同时可大大减少建筑材料水泥、沙石的汽车运量，减轻车辆交通噪声影响。</w:t>
            </w:r>
          </w:p>
          <w:p>
            <w:pPr>
              <w:spacing w:line="360" w:lineRule="auto"/>
              <w:ind w:firstLine="480" w:firstLineChars="200"/>
              <w:rPr>
                <w:bCs/>
                <w:color w:val="auto"/>
                <w:sz w:val="24"/>
              </w:rPr>
            </w:pPr>
            <w:r>
              <w:rPr>
                <w:rFonts w:hint="eastAsia"/>
                <w:bCs/>
                <w:color w:val="auto"/>
                <w:sz w:val="24"/>
              </w:rPr>
              <w:t xml:space="preserve">⑵ </w:t>
            </w:r>
            <w:r>
              <w:rPr>
                <w:bCs/>
                <w:color w:val="auto"/>
                <w:sz w:val="24"/>
              </w:rPr>
              <w:t>严格操作规程，加强施工机械管理，降低人为噪声影响</w:t>
            </w:r>
            <w:r>
              <w:rPr>
                <w:rFonts w:hint="eastAsia"/>
                <w:bCs/>
                <w:color w:val="auto"/>
                <w:sz w:val="24"/>
              </w:rPr>
              <w:t>。</w:t>
            </w:r>
          </w:p>
          <w:p>
            <w:pPr>
              <w:spacing w:line="360" w:lineRule="auto"/>
              <w:ind w:firstLine="480" w:firstLineChars="200"/>
              <w:rPr>
                <w:bCs/>
                <w:color w:val="auto"/>
                <w:sz w:val="24"/>
              </w:rPr>
            </w:pPr>
            <w:r>
              <w:rPr>
                <w:bCs/>
                <w:color w:val="auto"/>
                <w:sz w:val="24"/>
              </w:rPr>
              <w:t>不合理施工作业是产生人为噪声的主要原因，如脚手架的安装、拆除，钢筋材料的装卸，以及</w:t>
            </w:r>
            <w:r>
              <w:rPr>
                <w:rFonts w:hint="eastAsia"/>
                <w:bCs/>
                <w:color w:val="auto"/>
                <w:sz w:val="24"/>
              </w:rPr>
              <w:t>撬装式污水处理设备</w:t>
            </w:r>
            <w:r>
              <w:rPr>
                <w:bCs/>
                <w:color w:val="auto"/>
                <w:sz w:val="24"/>
              </w:rPr>
              <w:t>安装过程产生的金属撞击声等均会产生较大距离的声环境影响，因此要杜绝人为敲打、野蛮装卸现象，规范建筑物料、土石方清运车辆进出工地高速行驶、鸣笛等。</w:t>
            </w:r>
          </w:p>
          <w:p>
            <w:pPr>
              <w:spacing w:line="360" w:lineRule="auto"/>
              <w:ind w:firstLine="480" w:firstLineChars="200"/>
              <w:rPr>
                <w:bCs/>
                <w:color w:val="auto"/>
                <w:sz w:val="24"/>
              </w:rPr>
            </w:pPr>
            <w:r>
              <w:rPr>
                <w:rFonts w:hint="eastAsia"/>
                <w:bCs/>
                <w:color w:val="auto"/>
                <w:sz w:val="24"/>
              </w:rPr>
              <w:t xml:space="preserve">⑶ </w:t>
            </w:r>
            <w:r>
              <w:rPr>
                <w:bCs/>
                <w:color w:val="auto"/>
                <w:sz w:val="24"/>
              </w:rPr>
              <w:t>采取有效的隔声、减振措施，降低噪声级</w:t>
            </w:r>
          </w:p>
          <w:p>
            <w:pPr>
              <w:spacing w:line="360" w:lineRule="auto"/>
              <w:ind w:firstLine="480" w:firstLineChars="200"/>
              <w:rPr>
                <w:bCs/>
                <w:color w:val="auto"/>
                <w:sz w:val="24"/>
              </w:rPr>
            </w:pPr>
            <w:r>
              <w:rPr>
                <w:bCs/>
                <w:color w:val="auto"/>
                <w:sz w:val="24"/>
              </w:rPr>
              <w:t>选用低噪声设备，并采取一定的吸音、隔声、降噪措施，控制施工机械噪声符合《建筑施工场界环境噪声排放标准》（GB12523-2011），做到施工场界噪声达标排放。</w:t>
            </w:r>
          </w:p>
          <w:p>
            <w:pPr>
              <w:spacing w:line="360" w:lineRule="auto"/>
              <w:ind w:firstLine="480" w:firstLineChars="200"/>
              <w:rPr>
                <w:bCs/>
                <w:color w:val="auto"/>
                <w:sz w:val="24"/>
              </w:rPr>
            </w:pPr>
            <w:r>
              <w:rPr>
                <w:rFonts w:hint="eastAsia"/>
                <w:bCs/>
                <w:color w:val="auto"/>
                <w:sz w:val="24"/>
              </w:rPr>
              <w:t xml:space="preserve">⑷ </w:t>
            </w:r>
            <w:r>
              <w:rPr>
                <w:bCs/>
                <w:color w:val="auto"/>
                <w:sz w:val="24"/>
              </w:rPr>
              <w:t>严格控制施工车辆运输路线，减少对周围敏感点的影响</w:t>
            </w:r>
          </w:p>
          <w:p>
            <w:pPr>
              <w:spacing w:line="360" w:lineRule="auto"/>
              <w:ind w:firstLine="480" w:firstLineChars="200"/>
              <w:rPr>
                <w:bCs/>
                <w:color w:val="auto"/>
                <w:sz w:val="24"/>
              </w:rPr>
            </w:pPr>
            <w:r>
              <w:rPr>
                <w:bCs/>
                <w:color w:val="auto"/>
                <w:sz w:val="24"/>
              </w:rPr>
              <w:t>施工车辆运输物料进入施工场地时应禁止鸣笛，尽量放慢车速。</w:t>
            </w:r>
          </w:p>
          <w:p>
            <w:pPr>
              <w:pStyle w:val="81"/>
              <w:spacing w:after="0" w:line="360" w:lineRule="auto"/>
              <w:ind w:firstLine="482" w:firstLineChars="200"/>
              <w:rPr>
                <w:b/>
                <w:color w:val="auto"/>
                <w:sz w:val="24"/>
              </w:rPr>
            </w:pPr>
            <w:r>
              <w:rPr>
                <w:b/>
                <w:color w:val="auto"/>
                <w:sz w:val="24"/>
              </w:rPr>
              <w:t>4、固体废物</w:t>
            </w:r>
          </w:p>
          <w:p>
            <w:pPr>
              <w:spacing w:line="360" w:lineRule="auto"/>
              <w:ind w:firstLine="480" w:firstLineChars="200"/>
              <w:rPr>
                <w:color w:val="auto"/>
                <w:sz w:val="24"/>
              </w:rPr>
            </w:pPr>
            <w:r>
              <w:rPr>
                <w:rFonts w:hint="eastAsia" w:ascii="宋体" w:hAnsi="宋体" w:cs="宋体"/>
                <w:color w:val="auto"/>
                <w:sz w:val="24"/>
              </w:rPr>
              <w:t>⑴</w:t>
            </w:r>
            <w:r>
              <w:rPr>
                <w:rFonts w:hint="eastAsia"/>
                <w:color w:val="auto"/>
                <w:sz w:val="24"/>
              </w:rPr>
              <w:t xml:space="preserve"> </w:t>
            </w:r>
            <w:r>
              <w:rPr>
                <w:rFonts w:hint="eastAsia" w:ascii="宋体" w:hAnsi="宋体" w:cs="宋体"/>
                <w:color w:val="auto"/>
                <w:sz w:val="24"/>
              </w:rPr>
              <w:t>建筑垃圾</w:t>
            </w:r>
          </w:p>
          <w:p>
            <w:pPr>
              <w:spacing w:line="360" w:lineRule="auto"/>
              <w:ind w:firstLine="480" w:firstLineChars="200"/>
              <w:rPr>
                <w:bCs/>
                <w:color w:val="auto"/>
                <w:sz w:val="24"/>
              </w:rPr>
            </w:pPr>
            <w:r>
              <w:rPr>
                <w:bCs/>
                <w:color w:val="auto"/>
                <w:sz w:val="24"/>
              </w:rPr>
              <w:t>建筑垃圾成分主要为水泥残渣、废木材、废铁丝、钢筋，以及建材的包装箱、袋等。</w:t>
            </w:r>
            <w:r>
              <w:rPr>
                <w:rFonts w:hint="eastAsia"/>
                <w:bCs/>
                <w:color w:val="auto"/>
                <w:sz w:val="24"/>
              </w:rPr>
              <w:t>能回收利用的进行回收利用，不能回收利用的</w:t>
            </w:r>
            <w:r>
              <w:rPr>
                <w:bCs/>
                <w:color w:val="auto"/>
                <w:sz w:val="24"/>
              </w:rPr>
              <w:t>建筑垃圾应集中收集后运往指定的建筑垃圾场进行填埋处置，不得随意乱放，垃圾运输车辆要加盖篷布，避免沿途</w:t>
            </w:r>
            <w:r>
              <w:rPr>
                <w:rFonts w:hint="eastAsia"/>
                <w:bCs/>
                <w:color w:val="auto"/>
                <w:sz w:val="24"/>
              </w:rPr>
              <w:t>抛撒。</w:t>
            </w:r>
          </w:p>
          <w:p>
            <w:pPr>
              <w:spacing w:line="360" w:lineRule="auto"/>
              <w:ind w:firstLine="480" w:firstLineChars="200"/>
              <w:rPr>
                <w:bCs/>
                <w:color w:val="auto"/>
                <w:sz w:val="24"/>
              </w:rPr>
            </w:pPr>
            <w:r>
              <w:rPr>
                <w:rFonts w:hint="eastAsia"/>
                <w:bCs/>
                <w:color w:val="auto"/>
                <w:sz w:val="24"/>
              </w:rPr>
              <w:t>⑵ 生活垃圾</w:t>
            </w:r>
          </w:p>
          <w:p>
            <w:pPr>
              <w:adjustRightInd w:val="0"/>
              <w:snapToGrid w:val="0"/>
              <w:spacing w:line="360" w:lineRule="auto"/>
              <w:ind w:firstLine="480" w:firstLineChars="200"/>
              <w:rPr>
                <w:bCs/>
                <w:color w:val="auto"/>
                <w:sz w:val="24"/>
              </w:rPr>
            </w:pPr>
            <w:r>
              <w:rPr>
                <w:rFonts w:hint="eastAsia"/>
                <w:bCs/>
                <w:color w:val="auto"/>
                <w:sz w:val="24"/>
              </w:rPr>
              <w:t>施工人员生活垃圾经垃圾桶分类收集后由项目所在作业区统一收集后送生活垃圾填埋场处置。</w:t>
            </w:r>
          </w:p>
          <w:p>
            <w:pPr>
              <w:pStyle w:val="81"/>
              <w:spacing w:after="0" w:line="360" w:lineRule="auto"/>
              <w:ind w:firstLine="482" w:firstLineChars="200"/>
              <w:rPr>
                <w:b/>
                <w:color w:val="auto"/>
                <w:sz w:val="24"/>
              </w:rPr>
            </w:pPr>
            <w:r>
              <w:rPr>
                <w:b/>
                <w:color w:val="auto"/>
                <w:sz w:val="24"/>
              </w:rPr>
              <w:t>5、生态</w:t>
            </w:r>
          </w:p>
          <w:p>
            <w:pPr>
              <w:adjustRightInd w:val="0"/>
              <w:snapToGrid w:val="0"/>
              <w:spacing w:line="360" w:lineRule="auto"/>
              <w:ind w:firstLine="480" w:firstLineChars="200"/>
              <w:rPr>
                <w:bCs/>
                <w:color w:val="auto"/>
                <w:sz w:val="24"/>
              </w:rPr>
            </w:pPr>
            <w:r>
              <w:rPr>
                <w:rFonts w:hint="eastAsia"/>
                <w:bCs/>
                <w:color w:val="auto"/>
                <w:sz w:val="24"/>
              </w:rPr>
              <w:t>本项目位于沙化土地封禁保护区外，且本项目占地均为现有站场内，不新增永久用地。施工道路均可依托现有道路，不新增临时用地。故本项目在做好下述生态措施前提下，不会加重区域生态环境沙化。</w:t>
            </w:r>
          </w:p>
          <w:p>
            <w:pPr>
              <w:adjustRightInd w:val="0"/>
              <w:snapToGrid w:val="0"/>
              <w:spacing w:line="360" w:lineRule="auto"/>
              <w:ind w:firstLine="480" w:firstLineChars="200"/>
              <w:rPr>
                <w:bCs/>
                <w:color w:val="auto"/>
                <w:sz w:val="24"/>
              </w:rPr>
            </w:pPr>
            <w:r>
              <w:rPr>
                <w:rFonts w:hint="eastAsia"/>
                <w:bCs/>
                <w:color w:val="auto"/>
                <w:sz w:val="24"/>
              </w:rPr>
              <w:t xml:space="preserve">⑴ </w:t>
            </w:r>
            <w:r>
              <w:rPr>
                <w:bCs/>
                <w:color w:val="auto"/>
                <w:sz w:val="24"/>
              </w:rPr>
              <w:t>强化生态环境保护意识，严格控制施工作业区，不得随意扩大范围，确保减少对附近植被和道路的破坏；</w:t>
            </w:r>
          </w:p>
          <w:p>
            <w:pPr>
              <w:adjustRightInd w:val="0"/>
              <w:snapToGrid w:val="0"/>
              <w:spacing w:line="360" w:lineRule="auto"/>
              <w:ind w:firstLine="480" w:firstLineChars="200"/>
              <w:rPr>
                <w:bCs/>
                <w:color w:val="auto"/>
                <w:sz w:val="24"/>
              </w:rPr>
            </w:pPr>
            <w:r>
              <w:rPr>
                <w:rFonts w:hint="eastAsia"/>
                <w:bCs/>
                <w:color w:val="auto"/>
                <w:sz w:val="24"/>
              </w:rPr>
              <w:t xml:space="preserve">⑵ </w:t>
            </w:r>
            <w:r>
              <w:rPr>
                <w:bCs/>
                <w:color w:val="auto"/>
                <w:sz w:val="24"/>
              </w:rPr>
              <w:t>物料、弃土渣应</w:t>
            </w:r>
            <w:r>
              <w:rPr>
                <w:rFonts w:hint="eastAsia"/>
                <w:bCs/>
                <w:color w:val="auto"/>
                <w:sz w:val="24"/>
              </w:rPr>
              <w:t>在站场范围内</w:t>
            </w:r>
            <w:r>
              <w:rPr>
                <w:bCs/>
                <w:color w:val="auto"/>
                <w:sz w:val="24"/>
              </w:rPr>
              <w:t>就近选择平坦地段集中堆放，并设土工布围栏等；</w:t>
            </w:r>
          </w:p>
          <w:p>
            <w:pPr>
              <w:adjustRightInd w:val="0"/>
              <w:snapToGrid w:val="0"/>
              <w:spacing w:line="360" w:lineRule="auto"/>
              <w:ind w:firstLine="480" w:firstLineChars="200"/>
              <w:rPr>
                <w:bCs/>
                <w:color w:val="auto"/>
                <w:sz w:val="24"/>
              </w:rPr>
            </w:pPr>
            <w:r>
              <w:rPr>
                <w:rFonts w:hint="eastAsia"/>
                <w:bCs/>
                <w:color w:val="auto"/>
                <w:sz w:val="24"/>
              </w:rPr>
              <w:t xml:space="preserve">⑶ </w:t>
            </w:r>
            <w:r>
              <w:rPr>
                <w:bCs/>
                <w:color w:val="auto"/>
                <w:sz w:val="24"/>
              </w:rPr>
              <w:t>对临时开挖土方实行分层堆放，全部表土都应分开堆放并标注清楚，至少地表0.3m厚的土层应被视作表土</w:t>
            </w:r>
            <w:r>
              <w:rPr>
                <w:rFonts w:hint="eastAsia"/>
                <w:bCs/>
                <w:color w:val="auto"/>
                <w:sz w:val="24"/>
              </w:rPr>
              <w:t>，</w:t>
            </w:r>
            <w:r>
              <w:rPr>
                <w:bCs/>
                <w:color w:val="auto"/>
                <w:sz w:val="24"/>
              </w:rPr>
              <w:t>填埋时，也应分层回填。</w:t>
            </w:r>
          </w:p>
          <w:p>
            <w:pPr>
              <w:pStyle w:val="33"/>
              <w:rPr>
                <w:bCs/>
                <w:color w:val="auto"/>
              </w:rPr>
            </w:pPr>
          </w:p>
          <w:p>
            <w:pPr>
              <w:pStyle w:val="87"/>
              <w:rPr>
                <w:color w:val="auto"/>
              </w:rPr>
            </w:pPr>
          </w:p>
          <w:p>
            <w:pPr>
              <w:pStyle w:val="87"/>
              <w:rPr>
                <w:color w:val="auto"/>
              </w:rPr>
            </w:pPr>
          </w:p>
          <w:p>
            <w:pPr>
              <w:pStyle w:val="87"/>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34" w:hRule="atLeast"/>
          <w:jc w:val="center"/>
        </w:trPr>
        <w:tc>
          <w:tcPr>
            <w:tcW w:w="776" w:type="dxa"/>
            <w:tcMar>
              <w:left w:w="28" w:type="dxa"/>
              <w:right w:w="28" w:type="dxa"/>
            </w:tcMar>
            <w:vAlign w:val="center"/>
          </w:tcPr>
          <w:p>
            <w:pPr>
              <w:adjustRightInd w:val="0"/>
              <w:snapToGrid w:val="0"/>
              <w:jc w:val="center"/>
              <w:rPr>
                <w:bCs/>
                <w:color w:val="auto"/>
                <w:sz w:val="24"/>
              </w:rPr>
            </w:pPr>
            <w:r>
              <w:rPr>
                <w:rFonts w:hAnsi="宋体"/>
                <w:bCs/>
                <w:color w:val="auto"/>
                <w:sz w:val="24"/>
              </w:rPr>
              <w:t>运营</w:t>
            </w:r>
          </w:p>
          <w:p>
            <w:pPr>
              <w:adjustRightInd w:val="0"/>
              <w:snapToGrid w:val="0"/>
              <w:jc w:val="center"/>
              <w:rPr>
                <w:bCs/>
                <w:color w:val="auto"/>
                <w:sz w:val="24"/>
              </w:rPr>
            </w:pPr>
            <w:r>
              <w:rPr>
                <w:rFonts w:hAnsi="宋体"/>
                <w:bCs/>
                <w:color w:val="auto"/>
                <w:sz w:val="24"/>
              </w:rPr>
              <w:t>期环</w:t>
            </w:r>
          </w:p>
          <w:p>
            <w:pPr>
              <w:adjustRightInd w:val="0"/>
              <w:snapToGrid w:val="0"/>
              <w:jc w:val="center"/>
              <w:rPr>
                <w:bCs/>
                <w:color w:val="auto"/>
                <w:sz w:val="24"/>
              </w:rPr>
            </w:pPr>
            <w:r>
              <w:rPr>
                <w:rFonts w:hAnsi="宋体"/>
                <w:bCs/>
                <w:color w:val="auto"/>
                <w:sz w:val="24"/>
              </w:rPr>
              <w:t>境影</w:t>
            </w:r>
          </w:p>
          <w:p>
            <w:pPr>
              <w:adjustRightInd w:val="0"/>
              <w:snapToGrid w:val="0"/>
              <w:jc w:val="center"/>
              <w:rPr>
                <w:bCs/>
                <w:color w:val="auto"/>
                <w:sz w:val="24"/>
              </w:rPr>
            </w:pPr>
            <w:r>
              <w:rPr>
                <w:rFonts w:hAnsi="宋体"/>
                <w:bCs/>
                <w:color w:val="auto"/>
                <w:sz w:val="24"/>
              </w:rPr>
              <w:t>响和</w:t>
            </w:r>
          </w:p>
          <w:p>
            <w:pPr>
              <w:adjustRightInd w:val="0"/>
              <w:snapToGrid w:val="0"/>
              <w:jc w:val="center"/>
              <w:rPr>
                <w:bCs/>
                <w:color w:val="auto"/>
                <w:sz w:val="24"/>
              </w:rPr>
            </w:pPr>
            <w:r>
              <w:rPr>
                <w:rFonts w:hAnsi="宋体"/>
                <w:bCs/>
                <w:color w:val="auto"/>
                <w:sz w:val="24"/>
              </w:rPr>
              <w:t>保护</w:t>
            </w:r>
          </w:p>
          <w:p>
            <w:pPr>
              <w:adjustRightInd w:val="0"/>
              <w:snapToGrid w:val="0"/>
              <w:jc w:val="center"/>
              <w:rPr>
                <w:bCs/>
                <w:color w:val="auto"/>
                <w:szCs w:val="21"/>
              </w:rPr>
            </w:pPr>
            <w:r>
              <w:rPr>
                <w:rFonts w:hAnsi="宋体"/>
                <w:bCs/>
                <w:color w:val="auto"/>
                <w:sz w:val="24"/>
              </w:rPr>
              <w:t>措施</w:t>
            </w:r>
          </w:p>
        </w:tc>
        <w:tc>
          <w:tcPr>
            <w:tcW w:w="8204" w:type="dxa"/>
            <w:vAlign w:val="center"/>
          </w:tcPr>
          <w:p>
            <w:pPr>
              <w:spacing w:line="360" w:lineRule="auto"/>
              <w:ind w:left="503"/>
              <w:rPr>
                <w:b/>
                <w:color w:val="auto"/>
                <w:sz w:val="24"/>
              </w:rPr>
            </w:pPr>
            <w:r>
              <w:rPr>
                <w:rFonts w:hint="eastAsia"/>
                <w:b/>
                <w:color w:val="auto"/>
                <w:sz w:val="24"/>
              </w:rPr>
              <w:t>1、废气</w:t>
            </w:r>
          </w:p>
          <w:p>
            <w:pPr>
              <w:pStyle w:val="17"/>
              <w:snapToGrid w:val="0"/>
              <w:spacing w:line="360" w:lineRule="auto"/>
              <w:ind w:firstLine="480" w:firstLineChars="200"/>
              <w:rPr>
                <w:color w:val="auto"/>
                <w:sz w:val="24"/>
              </w:rPr>
            </w:pPr>
            <w:r>
              <w:rPr>
                <w:rFonts w:hint="eastAsia"/>
                <w:color w:val="auto"/>
                <w:sz w:val="24"/>
              </w:rPr>
              <w:t>⑴ 污染源分析</w:t>
            </w:r>
          </w:p>
          <w:p>
            <w:pPr>
              <w:spacing w:line="360" w:lineRule="auto"/>
              <w:ind w:firstLine="480" w:firstLineChars="200"/>
              <w:rPr>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1 \* GB3</w:instrText>
            </w:r>
            <w:r>
              <w:rPr>
                <w:color w:val="auto"/>
                <w:sz w:val="24"/>
              </w:rPr>
              <w:instrText xml:space="preserve"> </w:instrText>
            </w:r>
            <w:r>
              <w:rPr>
                <w:color w:val="auto"/>
                <w:sz w:val="24"/>
              </w:rPr>
              <w:fldChar w:fldCharType="separate"/>
            </w:r>
            <w:r>
              <w:rPr>
                <w:rFonts w:hint="eastAsia"/>
                <w:color w:val="auto"/>
                <w:sz w:val="24"/>
              </w:rPr>
              <w:t>①</w:t>
            </w:r>
            <w:r>
              <w:rPr>
                <w:color w:val="auto"/>
                <w:sz w:val="24"/>
              </w:rPr>
              <w:fldChar w:fldCharType="end"/>
            </w:r>
            <w:r>
              <w:rPr>
                <w:color w:val="auto"/>
                <w:sz w:val="24"/>
              </w:rPr>
              <w:t xml:space="preserve"> </w:t>
            </w:r>
            <w:r>
              <w:rPr>
                <w:rFonts w:hint="eastAsia"/>
                <w:color w:val="auto"/>
                <w:sz w:val="24"/>
              </w:rPr>
              <w:t>源强</w:t>
            </w:r>
          </w:p>
          <w:p>
            <w:pPr>
              <w:spacing w:line="360" w:lineRule="auto"/>
              <w:ind w:firstLine="480" w:firstLineChars="200"/>
              <w:rPr>
                <w:color w:val="auto"/>
                <w:sz w:val="24"/>
              </w:rPr>
            </w:pPr>
            <w:r>
              <w:rPr>
                <w:rFonts w:hint="eastAsia"/>
                <w:color w:val="auto"/>
                <w:sz w:val="24"/>
              </w:rPr>
              <w:t>项目废气污染源源强核算结果及相关参数见表33。</w:t>
            </w:r>
          </w:p>
          <w:p>
            <w:pPr>
              <w:pStyle w:val="17"/>
              <w:snapToGrid w:val="0"/>
              <w:spacing w:line="360" w:lineRule="auto"/>
              <w:ind w:firstLine="0"/>
              <w:jc w:val="center"/>
              <w:rPr>
                <w:rFonts w:ascii="Times New Roman" w:eastAsia="黑体"/>
                <w:color w:val="auto"/>
                <w:sz w:val="21"/>
                <w:szCs w:val="21"/>
              </w:rPr>
            </w:pPr>
            <w:r>
              <w:rPr>
                <w:rFonts w:ascii="Times New Roman" w:eastAsia="黑体"/>
                <w:color w:val="auto"/>
                <w:sz w:val="21"/>
                <w:szCs w:val="21"/>
              </w:rPr>
              <w:t>表</w:t>
            </w:r>
            <w:r>
              <w:rPr>
                <w:rFonts w:hint="eastAsia" w:ascii="Times New Roman" w:eastAsia="黑体"/>
                <w:color w:val="auto"/>
                <w:sz w:val="21"/>
                <w:szCs w:val="21"/>
              </w:rPr>
              <w:t xml:space="preserve">4-1 </w:t>
            </w:r>
            <w:r>
              <w:rPr>
                <w:rFonts w:ascii="Times New Roman" w:eastAsia="黑体"/>
                <w:color w:val="auto"/>
                <w:sz w:val="21"/>
                <w:szCs w:val="21"/>
              </w:rPr>
              <w:t xml:space="preserve"> 废气污染源源强核算结果及相关参数一览表</w:t>
            </w:r>
          </w:p>
          <w:tbl>
            <w:tblPr>
              <w:tblStyle w:val="3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62"/>
              <w:gridCol w:w="762"/>
              <w:gridCol w:w="733"/>
              <w:gridCol w:w="1150"/>
              <w:gridCol w:w="1034"/>
              <w:gridCol w:w="416"/>
              <w:gridCol w:w="705"/>
              <w:gridCol w:w="1215"/>
              <w:gridCol w:w="10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62" w:type="dxa"/>
                  <w:vMerge w:val="restart"/>
                  <w:tcBorders>
                    <w:top w:val="single" w:color="auto" w:sz="4" w:space="0"/>
                    <w:left w:val="single" w:color="000000" w:sz="4" w:space="0"/>
                  </w:tcBorders>
                  <w:vAlign w:val="center"/>
                </w:tcPr>
                <w:p>
                  <w:pPr>
                    <w:snapToGrid w:val="0"/>
                    <w:spacing w:line="320" w:lineRule="exact"/>
                    <w:jc w:val="center"/>
                    <w:rPr>
                      <w:color w:val="auto"/>
                      <w:szCs w:val="21"/>
                    </w:rPr>
                  </w:pPr>
                  <w:r>
                    <w:rPr>
                      <w:rFonts w:hint="eastAsia"/>
                      <w:color w:val="auto"/>
                      <w:szCs w:val="21"/>
                    </w:rPr>
                    <w:t>污染源</w:t>
                  </w:r>
                </w:p>
              </w:tc>
              <w:tc>
                <w:tcPr>
                  <w:tcW w:w="762" w:type="dxa"/>
                  <w:vMerge w:val="restart"/>
                  <w:tcBorders>
                    <w:top w:val="single" w:color="auto" w:sz="4" w:space="0"/>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污染物</w:t>
                  </w:r>
                </w:p>
              </w:tc>
              <w:tc>
                <w:tcPr>
                  <w:tcW w:w="733" w:type="dxa"/>
                  <w:vMerge w:val="restart"/>
                  <w:tcBorders>
                    <w:top w:val="single" w:color="auto" w:sz="4" w:space="0"/>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排放形式</w:t>
                  </w:r>
                </w:p>
              </w:tc>
              <w:tc>
                <w:tcPr>
                  <w:tcW w:w="2184" w:type="dxa"/>
                  <w:gridSpan w:val="2"/>
                  <w:tcBorders>
                    <w:top w:val="single" w:color="auto" w:sz="4" w:space="0"/>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污染物产生</w:t>
                  </w:r>
                </w:p>
              </w:tc>
              <w:tc>
                <w:tcPr>
                  <w:tcW w:w="1121" w:type="dxa"/>
                  <w:gridSpan w:val="2"/>
                  <w:tcBorders>
                    <w:top w:val="single" w:color="auto" w:sz="4" w:space="0"/>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治理措施</w:t>
                  </w:r>
                </w:p>
              </w:tc>
              <w:tc>
                <w:tcPr>
                  <w:tcW w:w="2311" w:type="dxa"/>
                  <w:gridSpan w:val="2"/>
                  <w:tcBorders>
                    <w:top w:val="single" w:color="auto" w:sz="4" w:space="0"/>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污染物排放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62" w:type="dxa"/>
                  <w:vMerge w:val="continue"/>
                  <w:tcBorders>
                    <w:left w:val="single" w:color="000000" w:sz="4" w:space="0"/>
                  </w:tcBorders>
                  <w:vAlign w:val="center"/>
                </w:tcPr>
                <w:p>
                  <w:pPr>
                    <w:snapToGrid w:val="0"/>
                    <w:spacing w:line="320" w:lineRule="exact"/>
                    <w:jc w:val="center"/>
                    <w:rPr>
                      <w:color w:val="auto"/>
                      <w:szCs w:val="21"/>
                    </w:rPr>
                  </w:pPr>
                </w:p>
              </w:tc>
              <w:tc>
                <w:tcPr>
                  <w:tcW w:w="762" w:type="dxa"/>
                  <w:vMerge w:val="continue"/>
                  <w:tcBorders>
                    <w:left w:val="single" w:color="auto" w:sz="4" w:space="0"/>
                    <w:right w:val="single" w:color="auto" w:sz="4" w:space="0"/>
                  </w:tcBorders>
                  <w:vAlign w:val="center"/>
                </w:tcPr>
                <w:p>
                  <w:pPr>
                    <w:snapToGrid w:val="0"/>
                    <w:spacing w:line="320" w:lineRule="exact"/>
                    <w:jc w:val="center"/>
                    <w:rPr>
                      <w:color w:val="auto"/>
                      <w:szCs w:val="21"/>
                    </w:rPr>
                  </w:pPr>
                </w:p>
              </w:tc>
              <w:tc>
                <w:tcPr>
                  <w:tcW w:w="733" w:type="dxa"/>
                  <w:vMerge w:val="continue"/>
                  <w:tcBorders>
                    <w:left w:val="single" w:color="auto" w:sz="4" w:space="0"/>
                    <w:right w:val="single" w:color="auto" w:sz="4" w:space="0"/>
                  </w:tcBorders>
                  <w:vAlign w:val="center"/>
                </w:tcPr>
                <w:p>
                  <w:pPr>
                    <w:snapToGrid w:val="0"/>
                    <w:spacing w:line="320" w:lineRule="exact"/>
                    <w:jc w:val="center"/>
                    <w:rPr>
                      <w:color w:val="auto"/>
                      <w:szCs w:val="21"/>
                    </w:rPr>
                  </w:pPr>
                </w:p>
              </w:tc>
              <w:tc>
                <w:tcPr>
                  <w:tcW w:w="1150"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产生浓度（mg/m</w:t>
                  </w:r>
                  <w:r>
                    <w:rPr>
                      <w:rFonts w:hint="eastAsia"/>
                      <w:color w:val="auto"/>
                      <w:szCs w:val="21"/>
                      <w:vertAlign w:val="superscript"/>
                    </w:rPr>
                    <w:t>3</w:t>
                  </w:r>
                  <w:r>
                    <w:rPr>
                      <w:rFonts w:hint="eastAsia"/>
                      <w:color w:val="auto"/>
                      <w:szCs w:val="21"/>
                    </w:rPr>
                    <w:t>）</w:t>
                  </w:r>
                </w:p>
              </w:tc>
              <w:tc>
                <w:tcPr>
                  <w:tcW w:w="1034" w:type="dxa"/>
                  <w:tcBorders>
                    <w:top w:val="single" w:color="auto" w:sz="4" w:space="0"/>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产生速率（kg/h）</w:t>
                  </w:r>
                </w:p>
              </w:tc>
              <w:tc>
                <w:tcPr>
                  <w:tcW w:w="416" w:type="dxa"/>
                  <w:tcBorders>
                    <w:top w:val="single" w:color="auto" w:sz="4" w:space="0"/>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工艺</w:t>
                  </w:r>
                </w:p>
              </w:tc>
              <w:tc>
                <w:tcPr>
                  <w:tcW w:w="705" w:type="dxa"/>
                  <w:tcBorders>
                    <w:top w:val="single" w:color="auto" w:sz="4" w:space="0"/>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效率/%</w:t>
                  </w:r>
                </w:p>
              </w:tc>
              <w:tc>
                <w:tcPr>
                  <w:tcW w:w="1215" w:type="dxa"/>
                  <w:tcBorders>
                    <w:top w:val="single" w:color="auto" w:sz="4" w:space="0"/>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排放浓度（mg/m</w:t>
                  </w:r>
                  <w:r>
                    <w:rPr>
                      <w:rFonts w:hint="eastAsia"/>
                      <w:color w:val="auto"/>
                      <w:szCs w:val="21"/>
                      <w:vertAlign w:val="superscript"/>
                    </w:rPr>
                    <w:t>3</w:t>
                  </w:r>
                  <w:r>
                    <w:rPr>
                      <w:rFonts w:hint="eastAsia"/>
                      <w:color w:val="auto"/>
                      <w:szCs w:val="21"/>
                    </w:rPr>
                    <w:t>）</w:t>
                  </w:r>
                </w:p>
              </w:tc>
              <w:tc>
                <w:tcPr>
                  <w:tcW w:w="1096" w:type="dxa"/>
                  <w:tcBorders>
                    <w:top w:val="single" w:color="auto" w:sz="4" w:space="0"/>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排放速率（kg/h）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62" w:type="dxa"/>
                  <w:tcBorders>
                    <w:left w:val="single" w:color="auto" w:sz="4" w:space="0"/>
                  </w:tcBorders>
                  <w:vAlign w:val="center"/>
                </w:tcPr>
                <w:p>
                  <w:pPr>
                    <w:snapToGrid w:val="0"/>
                    <w:spacing w:line="320" w:lineRule="exact"/>
                    <w:jc w:val="center"/>
                    <w:rPr>
                      <w:color w:val="auto"/>
                      <w:szCs w:val="21"/>
                    </w:rPr>
                  </w:pPr>
                  <w:r>
                    <w:rPr>
                      <w:rFonts w:hint="eastAsia"/>
                      <w:color w:val="auto"/>
                      <w:szCs w:val="21"/>
                    </w:rPr>
                    <w:t>2511处理站</w:t>
                  </w:r>
                </w:p>
              </w:tc>
              <w:tc>
                <w:tcPr>
                  <w:tcW w:w="762" w:type="dxa"/>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非甲烷总烃</w:t>
                  </w:r>
                </w:p>
              </w:tc>
              <w:tc>
                <w:tcPr>
                  <w:tcW w:w="733" w:type="dxa"/>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无组织</w:t>
                  </w:r>
                </w:p>
              </w:tc>
              <w:tc>
                <w:tcPr>
                  <w:tcW w:w="1150"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w:t>
                  </w:r>
                </w:p>
              </w:tc>
              <w:tc>
                <w:tcPr>
                  <w:tcW w:w="1034" w:type="dxa"/>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0.0625</w:t>
                  </w:r>
                </w:p>
              </w:tc>
              <w:tc>
                <w:tcPr>
                  <w:tcW w:w="1121" w:type="dxa"/>
                  <w:gridSpan w:val="2"/>
                  <w:vMerge w:val="restart"/>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污水污泥罐等污水处理装置密闭</w:t>
                  </w:r>
                </w:p>
              </w:tc>
              <w:tc>
                <w:tcPr>
                  <w:tcW w:w="1215" w:type="dxa"/>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w:t>
                  </w:r>
                </w:p>
              </w:tc>
              <w:tc>
                <w:tcPr>
                  <w:tcW w:w="1096" w:type="dxa"/>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0.0625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62" w:type="dxa"/>
                  <w:tcBorders>
                    <w:left w:val="single" w:color="auto" w:sz="4" w:space="0"/>
                  </w:tcBorders>
                  <w:vAlign w:val="center"/>
                </w:tcPr>
                <w:p>
                  <w:pPr>
                    <w:snapToGrid w:val="0"/>
                    <w:spacing w:line="320" w:lineRule="exact"/>
                    <w:jc w:val="center"/>
                    <w:rPr>
                      <w:color w:val="auto"/>
                      <w:szCs w:val="21"/>
                    </w:rPr>
                  </w:pPr>
                  <w:r>
                    <w:rPr>
                      <w:rFonts w:hint="eastAsia"/>
                      <w:color w:val="auto"/>
                      <w:szCs w:val="21"/>
                    </w:rPr>
                    <w:t>3270处理站</w:t>
                  </w:r>
                </w:p>
              </w:tc>
              <w:tc>
                <w:tcPr>
                  <w:tcW w:w="762" w:type="dxa"/>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非甲烷总烃</w:t>
                  </w:r>
                </w:p>
              </w:tc>
              <w:tc>
                <w:tcPr>
                  <w:tcW w:w="733" w:type="dxa"/>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无组织</w:t>
                  </w:r>
                </w:p>
              </w:tc>
              <w:tc>
                <w:tcPr>
                  <w:tcW w:w="1150"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w:t>
                  </w:r>
                </w:p>
              </w:tc>
              <w:tc>
                <w:tcPr>
                  <w:tcW w:w="1034" w:type="dxa"/>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0.0625</w:t>
                  </w:r>
                </w:p>
              </w:tc>
              <w:tc>
                <w:tcPr>
                  <w:tcW w:w="1121" w:type="dxa"/>
                  <w:gridSpan w:val="2"/>
                  <w:vMerge w:val="continue"/>
                  <w:tcBorders>
                    <w:left w:val="single" w:color="auto" w:sz="4" w:space="0"/>
                    <w:right w:val="single" w:color="auto" w:sz="4" w:space="0"/>
                  </w:tcBorders>
                  <w:vAlign w:val="center"/>
                </w:tcPr>
                <w:p>
                  <w:pPr>
                    <w:snapToGrid w:val="0"/>
                    <w:spacing w:line="320" w:lineRule="exact"/>
                    <w:jc w:val="center"/>
                    <w:rPr>
                      <w:color w:val="auto"/>
                      <w:szCs w:val="21"/>
                    </w:rPr>
                  </w:pPr>
                </w:p>
              </w:tc>
              <w:tc>
                <w:tcPr>
                  <w:tcW w:w="1215" w:type="dxa"/>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w:t>
                  </w:r>
                </w:p>
              </w:tc>
              <w:tc>
                <w:tcPr>
                  <w:tcW w:w="1096" w:type="dxa"/>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0.0625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62" w:type="dxa"/>
                  <w:tcBorders>
                    <w:left w:val="single" w:color="auto" w:sz="4" w:space="0"/>
                  </w:tcBorders>
                  <w:vAlign w:val="center"/>
                </w:tcPr>
                <w:p>
                  <w:pPr>
                    <w:snapToGrid w:val="0"/>
                    <w:spacing w:line="320" w:lineRule="exact"/>
                    <w:jc w:val="center"/>
                    <w:rPr>
                      <w:color w:val="auto"/>
                      <w:szCs w:val="21"/>
                    </w:rPr>
                  </w:pPr>
                  <w:r>
                    <w:rPr>
                      <w:rFonts w:hint="eastAsia"/>
                      <w:color w:val="auto"/>
                      <w:szCs w:val="21"/>
                    </w:rPr>
                    <w:t>4926-4处理站</w:t>
                  </w:r>
                </w:p>
              </w:tc>
              <w:tc>
                <w:tcPr>
                  <w:tcW w:w="762" w:type="dxa"/>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非甲烷总烃</w:t>
                  </w:r>
                </w:p>
              </w:tc>
              <w:tc>
                <w:tcPr>
                  <w:tcW w:w="733" w:type="dxa"/>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无组织</w:t>
                  </w:r>
                </w:p>
              </w:tc>
              <w:tc>
                <w:tcPr>
                  <w:tcW w:w="1150"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w:t>
                  </w:r>
                </w:p>
              </w:tc>
              <w:tc>
                <w:tcPr>
                  <w:tcW w:w="1034" w:type="dxa"/>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0.0625</w:t>
                  </w:r>
                </w:p>
              </w:tc>
              <w:tc>
                <w:tcPr>
                  <w:tcW w:w="1121" w:type="dxa"/>
                  <w:gridSpan w:val="2"/>
                  <w:vMerge w:val="continue"/>
                  <w:tcBorders>
                    <w:left w:val="single" w:color="auto" w:sz="4" w:space="0"/>
                    <w:right w:val="single" w:color="auto" w:sz="4" w:space="0"/>
                  </w:tcBorders>
                  <w:vAlign w:val="center"/>
                </w:tcPr>
                <w:p>
                  <w:pPr>
                    <w:snapToGrid w:val="0"/>
                    <w:spacing w:line="320" w:lineRule="exact"/>
                    <w:jc w:val="center"/>
                    <w:rPr>
                      <w:color w:val="auto"/>
                      <w:szCs w:val="21"/>
                    </w:rPr>
                  </w:pPr>
                </w:p>
              </w:tc>
              <w:tc>
                <w:tcPr>
                  <w:tcW w:w="1215" w:type="dxa"/>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w:t>
                  </w:r>
                </w:p>
              </w:tc>
              <w:tc>
                <w:tcPr>
                  <w:tcW w:w="1096" w:type="dxa"/>
                  <w:tcBorders>
                    <w:left w:val="single" w:color="auto" w:sz="4" w:space="0"/>
                    <w:right w:val="single" w:color="auto" w:sz="4" w:space="0"/>
                  </w:tcBorders>
                  <w:vAlign w:val="center"/>
                </w:tcPr>
                <w:p>
                  <w:pPr>
                    <w:snapToGrid w:val="0"/>
                    <w:spacing w:line="320" w:lineRule="exact"/>
                    <w:jc w:val="center"/>
                    <w:rPr>
                      <w:color w:val="auto"/>
                      <w:szCs w:val="21"/>
                    </w:rPr>
                  </w:pPr>
                  <w:r>
                    <w:rPr>
                      <w:rFonts w:hint="eastAsia"/>
                      <w:color w:val="auto"/>
                      <w:szCs w:val="21"/>
                    </w:rPr>
                    <w:t>0.0625</w:t>
                  </w:r>
                </w:p>
              </w:tc>
            </w:tr>
          </w:tbl>
          <w:p>
            <w:pPr>
              <w:spacing w:line="360" w:lineRule="auto"/>
              <w:ind w:firstLine="480" w:firstLineChars="200"/>
              <w:rPr>
                <w:color w:val="auto"/>
                <w:sz w:val="24"/>
              </w:rPr>
            </w:pPr>
            <w:r>
              <w:rPr>
                <w:rFonts w:hint="eastAsia"/>
                <w:color w:val="auto"/>
                <w:sz w:val="24"/>
              </w:rPr>
              <w:fldChar w:fldCharType="begin"/>
            </w:r>
            <w:r>
              <w:rPr>
                <w:rFonts w:hint="eastAsia"/>
                <w:color w:val="auto"/>
                <w:sz w:val="24"/>
              </w:rPr>
              <w:instrText xml:space="preserve"> = 2 \* GB3 </w:instrText>
            </w:r>
            <w:r>
              <w:rPr>
                <w:rFonts w:hint="eastAsia"/>
                <w:color w:val="auto"/>
                <w:sz w:val="24"/>
              </w:rPr>
              <w:fldChar w:fldCharType="separate"/>
            </w:r>
            <w:r>
              <w:rPr>
                <w:rFonts w:hint="eastAsia"/>
                <w:color w:val="auto"/>
                <w:sz w:val="24"/>
              </w:rPr>
              <w:t>②</w:t>
            </w:r>
            <w:r>
              <w:rPr>
                <w:rFonts w:hint="eastAsia"/>
                <w:color w:val="auto"/>
                <w:sz w:val="24"/>
              </w:rPr>
              <w:fldChar w:fldCharType="end"/>
            </w:r>
            <w:r>
              <w:rPr>
                <w:rFonts w:hint="eastAsia"/>
                <w:color w:val="auto"/>
                <w:sz w:val="24"/>
              </w:rPr>
              <w:t xml:space="preserve"> 核算过程</w:t>
            </w:r>
          </w:p>
          <w:p>
            <w:pPr>
              <w:adjustRightInd w:val="0"/>
              <w:snapToGrid w:val="0"/>
              <w:spacing w:line="360" w:lineRule="auto"/>
              <w:ind w:firstLine="480" w:firstLineChars="200"/>
              <w:rPr>
                <w:color w:val="auto"/>
                <w:sz w:val="24"/>
              </w:rPr>
            </w:pPr>
            <w:r>
              <w:rPr>
                <w:rFonts w:hint="eastAsia"/>
                <w:color w:val="auto"/>
                <w:sz w:val="24"/>
              </w:rPr>
              <w:t>采出水处理过程废气</w:t>
            </w:r>
            <w:r>
              <w:rPr>
                <w:color w:val="auto"/>
                <w:sz w:val="24"/>
              </w:rPr>
              <w:t>主要的大气污染源为</w:t>
            </w:r>
            <w:r>
              <w:rPr>
                <w:rFonts w:hint="eastAsia"/>
                <w:color w:val="auto"/>
                <w:sz w:val="24"/>
              </w:rPr>
              <w:t>净化处理装置、污水污泥罐</w:t>
            </w:r>
            <w:r>
              <w:rPr>
                <w:color w:val="auto"/>
                <w:sz w:val="24"/>
              </w:rPr>
              <w:t>逸散的无组织废气。</w:t>
            </w:r>
          </w:p>
          <w:p>
            <w:pPr>
              <w:pStyle w:val="11"/>
              <w:spacing w:line="360" w:lineRule="auto"/>
              <w:ind w:firstLine="480" w:firstLineChars="200"/>
              <w:jc w:val="both"/>
              <w:rPr>
                <w:color w:val="auto"/>
              </w:rPr>
            </w:pPr>
            <w:r>
              <w:rPr>
                <w:color w:val="auto"/>
                <w:szCs w:val="24"/>
                <w:lang w:bidi="en-US"/>
              </w:rPr>
              <w:t>本项目</w:t>
            </w:r>
            <w:r>
              <w:rPr>
                <w:rFonts w:hint="eastAsia"/>
                <w:color w:val="auto"/>
                <w:szCs w:val="24"/>
                <w:lang w:bidi="en-US"/>
              </w:rPr>
              <w:t>建成后</w:t>
            </w:r>
            <w:r>
              <w:rPr>
                <w:color w:val="auto"/>
                <w:szCs w:val="24"/>
                <w:lang w:bidi="en-US"/>
              </w:rPr>
              <w:t>采出水处理</w:t>
            </w:r>
            <w:r>
              <w:rPr>
                <w:rFonts w:hint="eastAsia"/>
                <w:color w:val="auto"/>
                <w:szCs w:val="24"/>
                <w:lang w:bidi="en-US"/>
              </w:rPr>
              <w:t>规模为3</w:t>
            </w:r>
            <w:r>
              <w:rPr>
                <w:color w:val="auto"/>
                <w:szCs w:val="24"/>
                <w:lang w:bidi="en-US"/>
              </w:rPr>
              <w:t>×</w:t>
            </w:r>
            <w:r>
              <w:rPr>
                <w:rFonts w:hint="eastAsia"/>
                <w:color w:val="auto"/>
                <w:szCs w:val="24"/>
                <w:lang w:bidi="en-US"/>
              </w:rPr>
              <w:t>3</w:t>
            </w:r>
            <w:r>
              <w:rPr>
                <w:color w:val="auto"/>
                <w:szCs w:val="24"/>
                <w:lang w:bidi="en-US"/>
              </w:rPr>
              <w:t>00</w:t>
            </w:r>
            <w:r>
              <w:rPr>
                <w:color w:val="auto"/>
                <w:szCs w:val="24"/>
              </w:rPr>
              <w:t>m</w:t>
            </w:r>
            <w:r>
              <w:rPr>
                <w:color w:val="auto"/>
                <w:szCs w:val="24"/>
                <w:vertAlign w:val="superscript"/>
              </w:rPr>
              <w:t>3</w:t>
            </w:r>
            <w:r>
              <w:rPr>
                <w:color w:val="auto"/>
                <w:szCs w:val="24"/>
              </w:rPr>
              <w:t>/d</w:t>
            </w:r>
            <w:r>
              <w:rPr>
                <w:color w:val="auto"/>
                <w:szCs w:val="24"/>
                <w:lang w:bidi="en-US"/>
              </w:rPr>
              <w:t>。项目</w:t>
            </w:r>
            <w:r>
              <w:rPr>
                <w:color w:val="auto"/>
                <w:szCs w:val="24"/>
              </w:rPr>
              <w:t>处理的废水为含油采出水，在生产过程中有非甲烷总烃排放。项目</w:t>
            </w:r>
            <w:r>
              <w:rPr>
                <w:rFonts w:hint="eastAsia"/>
                <w:color w:val="auto"/>
              </w:rPr>
              <w:t>净化处理装置、污水污泥罐</w:t>
            </w:r>
            <w:r>
              <w:rPr>
                <w:color w:val="auto"/>
                <w:szCs w:val="24"/>
              </w:rPr>
              <w:t>均密闭，采出水处理过程中无组织排放气体较少，</w:t>
            </w:r>
            <w:r>
              <w:rPr>
                <w:color w:val="auto"/>
              </w:rPr>
              <w:t>本次评价主要对采出水处理过程中逸散的非甲烷总烃进行分析</w:t>
            </w:r>
            <w:r>
              <w:rPr>
                <w:rFonts w:hint="eastAsia"/>
                <w:color w:val="auto"/>
              </w:rPr>
              <w:t>，</w:t>
            </w:r>
            <w:r>
              <w:rPr>
                <w:color w:val="auto"/>
              </w:rPr>
              <w:t>参考</w:t>
            </w:r>
            <w:r>
              <w:rPr>
                <w:rFonts w:hint="eastAsia"/>
                <w:color w:val="auto"/>
              </w:rPr>
              <w:t>环境部公告发布的《</w:t>
            </w:r>
            <w:r>
              <w:rPr>
                <w:color w:val="auto"/>
              </w:rPr>
              <w:t>排放源统计调查产排污核算方法和系数手册</w:t>
            </w:r>
            <w:r>
              <w:rPr>
                <w:rFonts w:hint="eastAsia"/>
                <w:color w:val="auto"/>
              </w:rPr>
              <w:t>》中《石油和天然气开采业行业系数手册》的排放系数中“废水收集、处理和处置过程逸散”中“密闭管道或容器产污系数为0”“污水池等敞口油水分离设施为0.6”“生化处理装置等非敞口非密闭废水处理设施为0.005”，本项目废水收集、处理和处置过程均在密闭管道或容器中进行，考虑到部分污水处理装置和构筑物未完全密闭，故本次源强按照产污系数0.005千克/立方米-产品核算，</w:t>
            </w:r>
            <w:r>
              <w:rPr>
                <w:color w:val="auto"/>
              </w:rPr>
              <w:t>项目年最大处理采出水量为</w:t>
            </w:r>
            <w:r>
              <w:rPr>
                <w:rFonts w:hint="eastAsia"/>
                <w:color w:val="auto"/>
                <w:szCs w:val="24"/>
                <w:lang w:bidi="en-US"/>
              </w:rPr>
              <w:t>3</w:t>
            </w:r>
            <w:r>
              <w:rPr>
                <w:color w:val="auto"/>
                <w:szCs w:val="24"/>
                <w:lang w:bidi="en-US"/>
              </w:rPr>
              <w:t>×</w:t>
            </w:r>
            <w:r>
              <w:rPr>
                <w:rFonts w:hint="eastAsia"/>
                <w:color w:val="auto"/>
              </w:rPr>
              <w:t>109500</w:t>
            </w:r>
            <w:r>
              <w:rPr>
                <w:color w:val="auto"/>
              </w:rPr>
              <w:t>m</w:t>
            </w:r>
            <w:r>
              <w:rPr>
                <w:color w:val="auto"/>
                <w:vertAlign w:val="superscript"/>
              </w:rPr>
              <w:t>3</w:t>
            </w:r>
            <w:r>
              <w:rPr>
                <w:color w:val="auto"/>
              </w:rPr>
              <w:t>/a（</w:t>
            </w:r>
            <w:r>
              <w:rPr>
                <w:rFonts w:hint="eastAsia"/>
                <w:color w:val="auto"/>
                <w:szCs w:val="24"/>
                <w:lang w:bidi="en-US"/>
              </w:rPr>
              <w:t>3</w:t>
            </w:r>
            <w:r>
              <w:rPr>
                <w:color w:val="auto"/>
                <w:szCs w:val="24"/>
                <w:lang w:bidi="en-US"/>
              </w:rPr>
              <w:t>×</w:t>
            </w:r>
            <w:r>
              <w:rPr>
                <w:rFonts w:hint="eastAsia"/>
                <w:color w:val="auto"/>
                <w:szCs w:val="24"/>
                <w:lang w:bidi="en-US"/>
              </w:rPr>
              <w:t>3</w:t>
            </w:r>
            <w:r>
              <w:rPr>
                <w:color w:val="auto"/>
                <w:szCs w:val="24"/>
                <w:lang w:bidi="en-US"/>
              </w:rPr>
              <w:t>00</w:t>
            </w:r>
            <w:r>
              <w:rPr>
                <w:color w:val="auto"/>
              </w:rPr>
              <w:t>m</w:t>
            </w:r>
            <w:r>
              <w:rPr>
                <w:color w:val="auto"/>
                <w:vertAlign w:val="superscript"/>
              </w:rPr>
              <w:t>3</w:t>
            </w:r>
            <w:r>
              <w:rPr>
                <w:color w:val="auto"/>
              </w:rPr>
              <w:t>/d），</w:t>
            </w:r>
            <w:r>
              <w:rPr>
                <w:rFonts w:hint="eastAsia"/>
                <w:color w:val="auto"/>
              </w:rPr>
              <w:t>经计算，项目采出水</w:t>
            </w:r>
            <w:r>
              <w:rPr>
                <w:color w:val="auto"/>
              </w:rPr>
              <w:t>处理过程</w:t>
            </w:r>
            <w:r>
              <w:rPr>
                <w:rFonts w:hint="eastAsia"/>
                <w:color w:val="auto"/>
              </w:rPr>
              <w:t>逸散</w:t>
            </w:r>
            <w:r>
              <w:rPr>
                <w:color w:val="auto"/>
              </w:rPr>
              <w:t>的非甲烷总烃（NMHC）为</w:t>
            </w:r>
            <w:r>
              <w:rPr>
                <w:rFonts w:hint="eastAsia"/>
                <w:color w:val="auto"/>
              </w:rPr>
              <w:t>1.6425</w:t>
            </w:r>
            <w:r>
              <w:rPr>
                <w:color w:val="auto"/>
              </w:rPr>
              <w:t>t/a（</w:t>
            </w:r>
            <w:r>
              <w:rPr>
                <w:rFonts w:hint="eastAsia"/>
                <w:color w:val="auto"/>
                <w:szCs w:val="24"/>
                <w:lang w:bidi="en-US"/>
              </w:rPr>
              <w:t>3</w:t>
            </w:r>
            <w:r>
              <w:rPr>
                <w:color w:val="auto"/>
                <w:szCs w:val="24"/>
                <w:lang w:bidi="en-US"/>
              </w:rPr>
              <w:t>×</w:t>
            </w:r>
            <w:r>
              <w:rPr>
                <w:color w:val="auto"/>
              </w:rPr>
              <w:t>0.</w:t>
            </w:r>
            <w:r>
              <w:rPr>
                <w:rFonts w:hint="eastAsia"/>
                <w:color w:val="auto"/>
              </w:rPr>
              <w:t>0625</w:t>
            </w:r>
            <w:r>
              <w:rPr>
                <w:color w:val="auto"/>
              </w:rPr>
              <w:t>kg/h）。</w:t>
            </w:r>
          </w:p>
          <w:p>
            <w:pPr>
              <w:spacing w:line="360" w:lineRule="auto"/>
              <w:ind w:firstLine="480" w:firstLineChars="200"/>
              <w:rPr>
                <w:color w:val="auto"/>
                <w:sz w:val="24"/>
              </w:rPr>
            </w:pPr>
            <w:r>
              <w:rPr>
                <w:rFonts w:hint="eastAsia"/>
                <w:color w:val="auto"/>
                <w:sz w:val="24"/>
              </w:rPr>
              <w:fldChar w:fldCharType="begin"/>
            </w:r>
            <w:r>
              <w:rPr>
                <w:rFonts w:hint="eastAsia"/>
                <w:color w:val="auto"/>
                <w:sz w:val="24"/>
              </w:rPr>
              <w:instrText xml:space="preserve"> = 2 \* GB2 </w:instrText>
            </w:r>
            <w:r>
              <w:rPr>
                <w:rFonts w:hint="eastAsia"/>
                <w:color w:val="auto"/>
                <w:sz w:val="24"/>
              </w:rPr>
              <w:fldChar w:fldCharType="separate"/>
            </w:r>
            <w:r>
              <w:rPr>
                <w:rFonts w:hint="eastAsia"/>
                <w:color w:val="auto"/>
                <w:sz w:val="24"/>
              </w:rPr>
              <w:t>⑵</w:t>
            </w:r>
            <w:r>
              <w:rPr>
                <w:rFonts w:hint="eastAsia"/>
                <w:color w:val="auto"/>
                <w:sz w:val="24"/>
              </w:rPr>
              <w:fldChar w:fldCharType="end"/>
            </w:r>
            <w:r>
              <w:rPr>
                <w:rFonts w:hint="eastAsia"/>
                <w:color w:val="auto"/>
                <w:sz w:val="24"/>
              </w:rPr>
              <w:t xml:space="preserve"> 环境影响分析</w:t>
            </w:r>
          </w:p>
          <w:p>
            <w:pPr>
              <w:spacing w:line="360" w:lineRule="auto"/>
              <w:ind w:firstLine="480" w:firstLineChars="200"/>
              <w:rPr>
                <w:color w:val="auto"/>
                <w:sz w:val="24"/>
              </w:rPr>
            </w:pPr>
            <w:r>
              <w:rPr>
                <w:rFonts w:hint="eastAsia"/>
                <w:color w:val="auto"/>
                <w:sz w:val="24"/>
              </w:rPr>
              <w:t>本项目项目主要产污设施（净化处理装置、污水污泥罐）均密闭，输送也在密闭管道中进行，挥发性有机物排放较少，采用密闭处理措施后，项目无组织排放的烃类气体很少。项目所在区域空旷，经空气稀释后，对环境空气影响较小。因此，本项目建设对大气环境影响较小，防治措施可行。</w:t>
            </w:r>
          </w:p>
          <w:p>
            <w:pPr>
              <w:pStyle w:val="11"/>
              <w:spacing w:line="360" w:lineRule="auto"/>
              <w:ind w:firstLine="482" w:firstLineChars="200"/>
              <w:jc w:val="both"/>
              <w:rPr>
                <w:b/>
                <w:color w:val="auto"/>
                <w:szCs w:val="24"/>
              </w:rPr>
            </w:pPr>
            <w:r>
              <w:rPr>
                <w:b/>
                <w:color w:val="auto"/>
                <w:szCs w:val="24"/>
              </w:rPr>
              <w:t>2、</w:t>
            </w:r>
            <w:r>
              <w:rPr>
                <w:rFonts w:hint="eastAsia"/>
                <w:b/>
                <w:color w:val="auto"/>
                <w:szCs w:val="24"/>
              </w:rPr>
              <w:t>废水</w:t>
            </w:r>
          </w:p>
          <w:p>
            <w:pPr>
              <w:spacing w:line="360" w:lineRule="auto"/>
              <w:ind w:firstLine="480" w:firstLineChars="200"/>
              <w:rPr>
                <w:color w:val="auto"/>
                <w:sz w:val="24"/>
              </w:rPr>
            </w:pPr>
            <w:r>
              <w:rPr>
                <w:rFonts w:hint="eastAsia"/>
                <w:color w:val="auto"/>
                <w:sz w:val="24"/>
              </w:rPr>
              <w:t>本项目使用水处理设备处理后水对滤料进行反冲洗，反冲洗水全部返还处理工艺前端的卸水池处理。</w:t>
            </w:r>
          </w:p>
          <w:p>
            <w:pPr>
              <w:spacing w:line="360" w:lineRule="auto"/>
              <w:ind w:firstLine="480" w:firstLineChars="200"/>
              <w:rPr>
                <w:color w:val="auto"/>
                <w:sz w:val="24"/>
              </w:rPr>
            </w:pPr>
            <w:r>
              <w:rPr>
                <w:rFonts w:hint="eastAsia"/>
                <w:color w:val="auto"/>
                <w:sz w:val="24"/>
              </w:rPr>
              <w:t>设备处理后出水全部送回注水站回注。</w:t>
            </w:r>
          </w:p>
          <w:p>
            <w:pPr>
              <w:spacing w:line="360" w:lineRule="auto"/>
              <w:ind w:firstLine="480" w:firstLineChars="200"/>
              <w:rPr>
                <w:color w:val="auto"/>
                <w:sz w:val="24"/>
              </w:rPr>
            </w:pPr>
            <w:r>
              <w:rPr>
                <w:rFonts w:hint="eastAsia"/>
                <w:color w:val="auto"/>
                <w:sz w:val="24"/>
              </w:rPr>
              <w:t>本项目不新增劳动定员，员工产生的盥洗废水回用于站区绿化、洒水降尘，废水不外排，旱厕定期拉运肥田。</w:t>
            </w:r>
          </w:p>
          <w:p>
            <w:pPr>
              <w:spacing w:line="360" w:lineRule="auto"/>
              <w:ind w:firstLine="480" w:firstLineChars="200"/>
              <w:rPr>
                <w:color w:val="auto"/>
                <w:sz w:val="24"/>
              </w:rPr>
            </w:pPr>
            <w:r>
              <w:rPr>
                <w:rFonts w:hint="eastAsia"/>
                <w:color w:val="auto"/>
                <w:sz w:val="24"/>
              </w:rPr>
              <w:t>综上所述，本项目运行期间不产生、不排放废水，对地表水环境影响较小。</w:t>
            </w:r>
          </w:p>
          <w:p>
            <w:pPr>
              <w:pStyle w:val="11"/>
              <w:adjustRightInd w:val="0"/>
              <w:snapToGrid w:val="0"/>
              <w:spacing w:line="360" w:lineRule="auto"/>
              <w:ind w:firstLine="442" w:firstLineChars="200"/>
              <w:jc w:val="both"/>
              <w:rPr>
                <w:b/>
                <w:bCs/>
                <w:color w:val="auto"/>
                <w:spacing w:val="-10"/>
                <w:szCs w:val="24"/>
              </w:rPr>
            </w:pPr>
            <w:r>
              <w:rPr>
                <w:rFonts w:hint="eastAsia"/>
                <w:b/>
                <w:bCs/>
                <w:color w:val="auto"/>
                <w:spacing w:val="-10"/>
                <w:szCs w:val="24"/>
              </w:rPr>
              <w:t>3、噪声</w:t>
            </w:r>
          </w:p>
          <w:p>
            <w:pPr>
              <w:pStyle w:val="81"/>
              <w:adjustRightInd w:val="0"/>
              <w:snapToGrid w:val="0"/>
              <w:spacing w:after="0" w:line="360" w:lineRule="auto"/>
              <w:ind w:firstLine="472" w:firstLineChars="197"/>
              <w:rPr>
                <w:color w:val="auto"/>
                <w:kern w:val="0"/>
                <w:sz w:val="24"/>
              </w:rPr>
            </w:pPr>
            <w:r>
              <w:rPr>
                <w:rFonts w:hint="eastAsia"/>
                <w:color w:val="auto"/>
                <w:kern w:val="0"/>
                <w:sz w:val="24"/>
              </w:rPr>
              <w:t>⑴</w:t>
            </w:r>
            <w:r>
              <w:rPr>
                <w:color w:val="auto"/>
                <w:kern w:val="0"/>
                <w:sz w:val="24"/>
              </w:rPr>
              <w:t xml:space="preserve"> </w:t>
            </w:r>
            <w:r>
              <w:rPr>
                <w:rFonts w:hint="eastAsia"/>
                <w:color w:val="auto"/>
                <w:kern w:val="0"/>
                <w:sz w:val="24"/>
              </w:rPr>
              <w:t>污染源分析</w:t>
            </w:r>
          </w:p>
          <w:p>
            <w:pPr>
              <w:adjustRightInd w:val="0"/>
              <w:snapToGrid w:val="0"/>
              <w:spacing w:line="360" w:lineRule="auto"/>
              <w:ind w:firstLine="480" w:firstLineChars="200"/>
              <w:rPr>
                <w:color w:val="auto"/>
                <w:kern w:val="0"/>
                <w:sz w:val="24"/>
              </w:rPr>
            </w:pPr>
            <w:r>
              <w:rPr>
                <w:rFonts w:hint="eastAsia"/>
                <w:color w:val="auto"/>
                <w:kern w:val="0"/>
                <w:sz w:val="24"/>
              </w:rPr>
              <w:t>本项目为24小时连续运行，对声环境影响主要为水处理过程中的泵类等设备产生的噪声。</w:t>
            </w:r>
            <w:r>
              <w:rPr>
                <w:color w:val="auto"/>
                <w:kern w:val="0"/>
                <w:sz w:val="24"/>
              </w:rPr>
              <w:t>项目主要设备噪声源强见表</w:t>
            </w:r>
            <w:r>
              <w:rPr>
                <w:rFonts w:hint="eastAsia"/>
                <w:color w:val="auto"/>
                <w:kern w:val="0"/>
                <w:sz w:val="24"/>
              </w:rPr>
              <w:t>4-2</w:t>
            </w:r>
            <w:r>
              <w:rPr>
                <w:color w:val="auto"/>
                <w:kern w:val="0"/>
                <w:sz w:val="24"/>
              </w:rPr>
              <w:t>。</w:t>
            </w:r>
          </w:p>
          <w:p>
            <w:pPr>
              <w:adjustRightInd w:val="0"/>
              <w:snapToGrid w:val="0"/>
              <w:spacing w:line="360" w:lineRule="auto"/>
              <w:jc w:val="center"/>
              <w:rPr>
                <w:rFonts w:ascii="黑体" w:hAnsi="黑体" w:eastAsia="黑体"/>
                <w:color w:val="auto"/>
                <w:szCs w:val="21"/>
              </w:rPr>
            </w:pPr>
            <w:r>
              <w:rPr>
                <w:rFonts w:hint="eastAsia" w:eastAsia="黑体"/>
                <w:color w:val="auto"/>
                <w:szCs w:val="21"/>
              </w:rPr>
              <w:t xml:space="preserve">表4-2  </w:t>
            </w:r>
            <w:r>
              <w:rPr>
                <w:rFonts w:ascii="黑体" w:hAnsi="黑体" w:eastAsia="黑体"/>
                <w:color w:val="auto"/>
                <w:szCs w:val="21"/>
              </w:rPr>
              <w:t>项目</w:t>
            </w:r>
            <w:r>
              <w:rPr>
                <w:rFonts w:hint="eastAsia" w:ascii="黑体" w:hAnsi="黑体" w:eastAsia="黑体"/>
                <w:color w:val="auto"/>
                <w:szCs w:val="21"/>
              </w:rPr>
              <w:t>噪声污染源源强核算结果及相关参数一览表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456"/>
              <w:gridCol w:w="1117"/>
              <w:gridCol w:w="817"/>
              <w:gridCol w:w="961"/>
              <w:gridCol w:w="1025"/>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dxa"/>
                  <w:vMerge w:val="restart"/>
                  <w:vAlign w:val="center"/>
                </w:tcPr>
                <w:p>
                  <w:pPr>
                    <w:adjustRightInd w:val="0"/>
                    <w:snapToGrid w:val="0"/>
                    <w:spacing w:line="320" w:lineRule="exact"/>
                    <w:jc w:val="center"/>
                    <w:rPr>
                      <w:color w:val="auto"/>
                      <w:szCs w:val="21"/>
                    </w:rPr>
                  </w:pPr>
                  <w:r>
                    <w:rPr>
                      <w:rFonts w:hint="eastAsia"/>
                      <w:color w:val="auto"/>
                      <w:szCs w:val="21"/>
                    </w:rPr>
                    <w:t>位置</w:t>
                  </w:r>
                </w:p>
              </w:tc>
              <w:tc>
                <w:tcPr>
                  <w:tcW w:w="2456" w:type="dxa"/>
                  <w:vMerge w:val="restart"/>
                  <w:vAlign w:val="center"/>
                </w:tcPr>
                <w:p>
                  <w:pPr>
                    <w:snapToGrid w:val="0"/>
                    <w:jc w:val="center"/>
                    <w:rPr>
                      <w:color w:val="auto"/>
                      <w:szCs w:val="21"/>
                    </w:rPr>
                  </w:pPr>
                  <w:r>
                    <w:rPr>
                      <w:color w:val="auto"/>
                      <w:szCs w:val="21"/>
                    </w:rPr>
                    <w:t>噪声源</w:t>
                  </w:r>
                </w:p>
              </w:tc>
              <w:tc>
                <w:tcPr>
                  <w:tcW w:w="1117" w:type="dxa"/>
                  <w:vMerge w:val="restart"/>
                  <w:vAlign w:val="center"/>
                </w:tcPr>
                <w:p>
                  <w:pPr>
                    <w:snapToGrid w:val="0"/>
                    <w:jc w:val="center"/>
                    <w:rPr>
                      <w:color w:val="auto"/>
                      <w:szCs w:val="21"/>
                    </w:rPr>
                  </w:pPr>
                  <w:r>
                    <w:rPr>
                      <w:color w:val="auto"/>
                      <w:szCs w:val="21"/>
                    </w:rPr>
                    <w:t>声源类型（频发、偶发等）</w:t>
                  </w:r>
                </w:p>
              </w:tc>
              <w:tc>
                <w:tcPr>
                  <w:tcW w:w="817" w:type="dxa"/>
                  <w:vMerge w:val="restart"/>
                  <w:vAlign w:val="center"/>
                </w:tcPr>
                <w:p>
                  <w:pPr>
                    <w:snapToGrid w:val="0"/>
                    <w:jc w:val="center"/>
                    <w:rPr>
                      <w:color w:val="auto"/>
                      <w:szCs w:val="21"/>
                    </w:rPr>
                  </w:pPr>
                  <w:r>
                    <w:rPr>
                      <w:color w:val="auto"/>
                      <w:szCs w:val="21"/>
                    </w:rPr>
                    <w:t>噪声源强dB(A)</w:t>
                  </w:r>
                </w:p>
              </w:tc>
              <w:tc>
                <w:tcPr>
                  <w:tcW w:w="1986" w:type="dxa"/>
                  <w:gridSpan w:val="2"/>
                  <w:vAlign w:val="center"/>
                </w:tcPr>
                <w:p>
                  <w:pPr>
                    <w:snapToGrid w:val="0"/>
                    <w:jc w:val="center"/>
                    <w:rPr>
                      <w:color w:val="auto"/>
                      <w:szCs w:val="21"/>
                    </w:rPr>
                  </w:pPr>
                  <w:r>
                    <w:rPr>
                      <w:color w:val="auto"/>
                      <w:szCs w:val="21"/>
                    </w:rPr>
                    <w:t>降噪措施</w:t>
                  </w:r>
                </w:p>
              </w:tc>
              <w:tc>
                <w:tcPr>
                  <w:tcW w:w="941" w:type="dxa"/>
                  <w:vMerge w:val="restart"/>
                  <w:vAlign w:val="center"/>
                </w:tcPr>
                <w:p>
                  <w:pPr>
                    <w:snapToGrid w:val="0"/>
                    <w:jc w:val="center"/>
                    <w:rPr>
                      <w:color w:val="auto"/>
                      <w:szCs w:val="21"/>
                    </w:rPr>
                  </w:pPr>
                  <w:r>
                    <w:rPr>
                      <w:color w:val="auto"/>
                      <w:szCs w:val="21"/>
                    </w:rPr>
                    <w:t>噪声排放值dB(A)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dxa"/>
                  <w:vMerge w:val="continue"/>
                  <w:vAlign w:val="center"/>
                </w:tcPr>
                <w:p>
                  <w:pPr>
                    <w:snapToGrid w:val="0"/>
                    <w:jc w:val="center"/>
                    <w:rPr>
                      <w:color w:val="auto"/>
                      <w:szCs w:val="21"/>
                    </w:rPr>
                  </w:pPr>
                </w:p>
              </w:tc>
              <w:tc>
                <w:tcPr>
                  <w:tcW w:w="2456" w:type="dxa"/>
                  <w:vMerge w:val="continue"/>
                  <w:vAlign w:val="center"/>
                </w:tcPr>
                <w:p>
                  <w:pPr>
                    <w:snapToGrid w:val="0"/>
                    <w:jc w:val="center"/>
                    <w:rPr>
                      <w:color w:val="auto"/>
                      <w:szCs w:val="21"/>
                    </w:rPr>
                  </w:pPr>
                </w:p>
              </w:tc>
              <w:tc>
                <w:tcPr>
                  <w:tcW w:w="1117" w:type="dxa"/>
                  <w:vMerge w:val="continue"/>
                  <w:vAlign w:val="center"/>
                </w:tcPr>
                <w:p>
                  <w:pPr>
                    <w:snapToGrid w:val="0"/>
                    <w:jc w:val="center"/>
                    <w:rPr>
                      <w:color w:val="auto"/>
                      <w:szCs w:val="21"/>
                    </w:rPr>
                  </w:pPr>
                </w:p>
              </w:tc>
              <w:tc>
                <w:tcPr>
                  <w:tcW w:w="817" w:type="dxa"/>
                  <w:vMerge w:val="continue"/>
                  <w:vAlign w:val="center"/>
                </w:tcPr>
                <w:p>
                  <w:pPr>
                    <w:snapToGrid w:val="0"/>
                    <w:jc w:val="center"/>
                    <w:rPr>
                      <w:color w:val="auto"/>
                      <w:szCs w:val="21"/>
                    </w:rPr>
                  </w:pPr>
                </w:p>
              </w:tc>
              <w:tc>
                <w:tcPr>
                  <w:tcW w:w="961" w:type="dxa"/>
                  <w:vAlign w:val="center"/>
                </w:tcPr>
                <w:p>
                  <w:pPr>
                    <w:snapToGrid w:val="0"/>
                    <w:jc w:val="center"/>
                    <w:rPr>
                      <w:color w:val="auto"/>
                      <w:szCs w:val="21"/>
                    </w:rPr>
                  </w:pPr>
                  <w:r>
                    <w:rPr>
                      <w:color w:val="auto"/>
                      <w:szCs w:val="21"/>
                    </w:rPr>
                    <w:t>工艺</w:t>
                  </w:r>
                </w:p>
              </w:tc>
              <w:tc>
                <w:tcPr>
                  <w:tcW w:w="1025" w:type="dxa"/>
                  <w:vAlign w:val="center"/>
                </w:tcPr>
                <w:p>
                  <w:pPr>
                    <w:snapToGrid w:val="0"/>
                    <w:jc w:val="center"/>
                    <w:rPr>
                      <w:color w:val="auto"/>
                      <w:szCs w:val="21"/>
                    </w:rPr>
                  </w:pPr>
                  <w:r>
                    <w:rPr>
                      <w:color w:val="auto"/>
                      <w:szCs w:val="21"/>
                    </w:rPr>
                    <w:t>降噪效果dB(A)</w:t>
                  </w:r>
                </w:p>
              </w:tc>
              <w:tc>
                <w:tcPr>
                  <w:tcW w:w="941" w:type="dxa"/>
                  <w:vMerge w:val="continue"/>
                  <w:vAlign w:val="center"/>
                </w:tcPr>
                <w:p>
                  <w:pPr>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dxa"/>
                  <w:vMerge w:val="restart"/>
                  <w:vAlign w:val="center"/>
                </w:tcPr>
                <w:p>
                  <w:pPr>
                    <w:adjustRightInd w:val="0"/>
                    <w:snapToGrid w:val="0"/>
                    <w:spacing w:line="320" w:lineRule="exact"/>
                    <w:jc w:val="center"/>
                    <w:rPr>
                      <w:color w:val="auto"/>
                      <w:szCs w:val="21"/>
                    </w:rPr>
                  </w:pPr>
                  <w:r>
                    <w:rPr>
                      <w:rFonts w:hint="eastAsia"/>
                      <w:color w:val="auto"/>
                      <w:szCs w:val="21"/>
                    </w:rPr>
                    <w:t>2511站</w:t>
                  </w:r>
                </w:p>
              </w:tc>
              <w:tc>
                <w:tcPr>
                  <w:tcW w:w="2456" w:type="dxa"/>
                  <w:vAlign w:val="center"/>
                </w:tcPr>
                <w:p>
                  <w:pPr>
                    <w:adjustRightInd w:val="0"/>
                    <w:snapToGrid w:val="0"/>
                    <w:spacing w:line="320" w:lineRule="exact"/>
                    <w:jc w:val="center"/>
                    <w:rPr>
                      <w:color w:val="auto"/>
                      <w:szCs w:val="21"/>
                    </w:rPr>
                  </w:pPr>
                  <w:r>
                    <w:rPr>
                      <w:color w:val="auto"/>
                      <w:szCs w:val="21"/>
                    </w:rPr>
                    <w:t>卸水池提升泵</w:t>
                  </w:r>
                  <w:r>
                    <w:rPr>
                      <w:rFonts w:hint="eastAsia"/>
                      <w:color w:val="auto"/>
                      <w:szCs w:val="21"/>
                    </w:rPr>
                    <w:t>（1台）</w:t>
                  </w:r>
                </w:p>
              </w:tc>
              <w:tc>
                <w:tcPr>
                  <w:tcW w:w="1117" w:type="dxa"/>
                  <w:vAlign w:val="center"/>
                </w:tcPr>
                <w:p>
                  <w:pPr>
                    <w:adjustRightInd w:val="0"/>
                    <w:snapToGrid w:val="0"/>
                    <w:spacing w:line="320" w:lineRule="exact"/>
                    <w:jc w:val="center"/>
                    <w:rPr>
                      <w:color w:val="auto"/>
                      <w:szCs w:val="21"/>
                    </w:rPr>
                  </w:pPr>
                  <w:r>
                    <w:rPr>
                      <w:color w:val="auto"/>
                      <w:szCs w:val="21"/>
                    </w:rPr>
                    <w:t>频发</w:t>
                  </w:r>
                </w:p>
              </w:tc>
              <w:tc>
                <w:tcPr>
                  <w:tcW w:w="817" w:type="dxa"/>
                  <w:vAlign w:val="center"/>
                </w:tcPr>
                <w:p>
                  <w:pPr>
                    <w:adjustRightInd w:val="0"/>
                    <w:snapToGrid w:val="0"/>
                    <w:spacing w:line="320" w:lineRule="exact"/>
                    <w:jc w:val="center"/>
                    <w:rPr>
                      <w:color w:val="auto"/>
                      <w:szCs w:val="21"/>
                    </w:rPr>
                  </w:pPr>
                  <w:r>
                    <w:rPr>
                      <w:rFonts w:hint="eastAsia"/>
                      <w:color w:val="auto"/>
                      <w:szCs w:val="21"/>
                    </w:rPr>
                    <w:t>70</w:t>
                  </w:r>
                </w:p>
              </w:tc>
              <w:tc>
                <w:tcPr>
                  <w:tcW w:w="961" w:type="dxa"/>
                  <w:vMerge w:val="restart"/>
                  <w:vAlign w:val="center"/>
                </w:tcPr>
                <w:p>
                  <w:pPr>
                    <w:adjustRightInd w:val="0"/>
                    <w:snapToGrid w:val="0"/>
                    <w:spacing w:line="320" w:lineRule="exact"/>
                    <w:jc w:val="center"/>
                    <w:rPr>
                      <w:color w:val="auto"/>
                      <w:szCs w:val="21"/>
                    </w:rPr>
                  </w:pPr>
                  <w:r>
                    <w:rPr>
                      <w:rFonts w:hint="eastAsia"/>
                      <w:color w:val="auto"/>
                      <w:szCs w:val="21"/>
                    </w:rPr>
                    <w:t>基础</w:t>
                  </w:r>
                  <w:r>
                    <w:rPr>
                      <w:color w:val="auto"/>
                      <w:szCs w:val="21"/>
                    </w:rPr>
                    <w:t>减振</w:t>
                  </w:r>
                  <w:r>
                    <w:rPr>
                      <w:rFonts w:hint="eastAsia"/>
                      <w:color w:val="auto"/>
                      <w:szCs w:val="21"/>
                    </w:rPr>
                    <w:t>，选用低噪声设备</w:t>
                  </w:r>
                </w:p>
              </w:tc>
              <w:tc>
                <w:tcPr>
                  <w:tcW w:w="1025" w:type="dxa"/>
                  <w:vAlign w:val="center"/>
                </w:tcPr>
                <w:p>
                  <w:pPr>
                    <w:adjustRightInd w:val="0"/>
                    <w:snapToGrid w:val="0"/>
                    <w:spacing w:line="320" w:lineRule="exact"/>
                    <w:jc w:val="center"/>
                    <w:rPr>
                      <w:color w:val="auto"/>
                      <w:szCs w:val="21"/>
                    </w:rPr>
                  </w:pPr>
                  <w:r>
                    <w:rPr>
                      <w:rFonts w:hint="eastAsia"/>
                      <w:color w:val="auto"/>
                      <w:szCs w:val="21"/>
                    </w:rPr>
                    <w:t>-5</w:t>
                  </w:r>
                </w:p>
              </w:tc>
              <w:tc>
                <w:tcPr>
                  <w:tcW w:w="941" w:type="dxa"/>
                  <w:vAlign w:val="center"/>
                </w:tcPr>
                <w:p>
                  <w:pPr>
                    <w:adjustRightInd w:val="0"/>
                    <w:snapToGrid w:val="0"/>
                    <w:spacing w:line="320" w:lineRule="exact"/>
                    <w:jc w:val="center"/>
                    <w:rPr>
                      <w:color w:val="auto"/>
                      <w:szCs w:val="21"/>
                    </w:rPr>
                  </w:pPr>
                  <w:r>
                    <w:rPr>
                      <w:rFonts w:hint="eastAsia"/>
                      <w:color w:val="auto"/>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color w:val="auto"/>
                      <w:szCs w:val="21"/>
                    </w:rPr>
                    <w:t>污水提升泵</w:t>
                  </w:r>
                  <w:r>
                    <w:rPr>
                      <w:rFonts w:hint="eastAsia"/>
                      <w:color w:val="auto"/>
                      <w:szCs w:val="21"/>
                    </w:rPr>
                    <w:t>（2台）</w:t>
                  </w:r>
                </w:p>
              </w:tc>
              <w:tc>
                <w:tcPr>
                  <w:tcW w:w="1117" w:type="dxa"/>
                  <w:vAlign w:val="center"/>
                </w:tcPr>
                <w:p>
                  <w:pPr>
                    <w:adjustRightInd w:val="0"/>
                    <w:snapToGrid w:val="0"/>
                    <w:spacing w:line="320" w:lineRule="exact"/>
                    <w:jc w:val="center"/>
                    <w:rPr>
                      <w:color w:val="auto"/>
                      <w:szCs w:val="21"/>
                    </w:rPr>
                  </w:pPr>
                  <w:r>
                    <w:rPr>
                      <w:color w:val="auto"/>
                      <w:szCs w:val="21"/>
                    </w:rPr>
                    <w:t>频发</w:t>
                  </w:r>
                </w:p>
              </w:tc>
              <w:tc>
                <w:tcPr>
                  <w:tcW w:w="817" w:type="dxa"/>
                  <w:vAlign w:val="center"/>
                </w:tcPr>
                <w:p>
                  <w:pPr>
                    <w:adjustRightInd w:val="0"/>
                    <w:snapToGrid w:val="0"/>
                    <w:spacing w:line="320" w:lineRule="exact"/>
                    <w:jc w:val="center"/>
                    <w:rPr>
                      <w:color w:val="auto"/>
                      <w:szCs w:val="21"/>
                    </w:rPr>
                  </w:pPr>
                  <w:r>
                    <w:rPr>
                      <w:rFonts w:hint="eastAsia"/>
                      <w:color w:val="auto"/>
                      <w:szCs w:val="21"/>
                    </w:rPr>
                    <w:t>73</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加药</w:t>
                  </w:r>
                  <w:r>
                    <w:rPr>
                      <w:color w:val="auto"/>
                      <w:szCs w:val="21"/>
                    </w:rPr>
                    <w:t>泵</w:t>
                  </w:r>
                  <w:r>
                    <w:rPr>
                      <w:rFonts w:hint="eastAsia"/>
                      <w:color w:val="auto"/>
                      <w:szCs w:val="21"/>
                    </w:rPr>
                    <w:t>（5台）</w:t>
                  </w:r>
                </w:p>
              </w:tc>
              <w:tc>
                <w:tcPr>
                  <w:tcW w:w="1117" w:type="dxa"/>
                  <w:vAlign w:val="center"/>
                </w:tcPr>
                <w:p>
                  <w:pPr>
                    <w:adjustRightInd w:val="0"/>
                    <w:snapToGrid w:val="0"/>
                    <w:spacing w:line="320" w:lineRule="exact"/>
                    <w:jc w:val="center"/>
                    <w:rPr>
                      <w:color w:val="auto"/>
                      <w:szCs w:val="21"/>
                    </w:rPr>
                  </w:pPr>
                  <w:r>
                    <w:rPr>
                      <w:rFonts w:hint="eastAsia"/>
                      <w:color w:val="auto"/>
                      <w:szCs w:val="21"/>
                    </w:rPr>
                    <w:t>偶</w:t>
                  </w:r>
                  <w:r>
                    <w:rPr>
                      <w:color w:val="auto"/>
                      <w:szCs w:val="21"/>
                    </w:rPr>
                    <w:t>发</w:t>
                  </w:r>
                </w:p>
              </w:tc>
              <w:tc>
                <w:tcPr>
                  <w:tcW w:w="817" w:type="dxa"/>
                  <w:vAlign w:val="center"/>
                </w:tcPr>
                <w:p>
                  <w:pPr>
                    <w:adjustRightInd w:val="0"/>
                    <w:snapToGrid w:val="0"/>
                    <w:spacing w:line="320" w:lineRule="exact"/>
                    <w:jc w:val="center"/>
                    <w:rPr>
                      <w:color w:val="auto"/>
                      <w:szCs w:val="21"/>
                    </w:rPr>
                  </w:pPr>
                  <w:r>
                    <w:rPr>
                      <w:rFonts w:hint="eastAsia"/>
                      <w:color w:val="auto"/>
                      <w:szCs w:val="21"/>
                    </w:rPr>
                    <w:t>77</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过滤</w:t>
                  </w:r>
                  <w:r>
                    <w:rPr>
                      <w:color w:val="auto"/>
                      <w:szCs w:val="21"/>
                    </w:rPr>
                    <w:t>后水提升泵</w:t>
                  </w:r>
                  <w:r>
                    <w:rPr>
                      <w:rFonts w:hint="eastAsia"/>
                      <w:color w:val="auto"/>
                      <w:szCs w:val="21"/>
                    </w:rPr>
                    <w:t>（1台）</w:t>
                  </w:r>
                </w:p>
              </w:tc>
              <w:tc>
                <w:tcPr>
                  <w:tcW w:w="1117" w:type="dxa"/>
                  <w:vAlign w:val="center"/>
                </w:tcPr>
                <w:p>
                  <w:pPr>
                    <w:adjustRightInd w:val="0"/>
                    <w:snapToGrid w:val="0"/>
                    <w:spacing w:line="320" w:lineRule="exact"/>
                    <w:jc w:val="center"/>
                    <w:rPr>
                      <w:color w:val="auto"/>
                      <w:szCs w:val="21"/>
                    </w:rPr>
                  </w:pPr>
                  <w:r>
                    <w:rPr>
                      <w:color w:val="auto"/>
                      <w:szCs w:val="21"/>
                    </w:rPr>
                    <w:t>频发</w:t>
                  </w:r>
                </w:p>
              </w:tc>
              <w:tc>
                <w:tcPr>
                  <w:tcW w:w="817" w:type="dxa"/>
                  <w:vAlign w:val="center"/>
                </w:tcPr>
                <w:p>
                  <w:pPr>
                    <w:adjustRightInd w:val="0"/>
                    <w:snapToGrid w:val="0"/>
                    <w:spacing w:line="320" w:lineRule="exact"/>
                    <w:jc w:val="center"/>
                    <w:rPr>
                      <w:color w:val="auto"/>
                      <w:szCs w:val="21"/>
                    </w:rPr>
                  </w:pPr>
                  <w:r>
                    <w:rPr>
                      <w:rFonts w:hint="eastAsia"/>
                      <w:color w:val="auto"/>
                      <w:szCs w:val="21"/>
                    </w:rPr>
                    <w:t>70</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过滤器加压泵（2台）</w:t>
                  </w:r>
                </w:p>
              </w:tc>
              <w:tc>
                <w:tcPr>
                  <w:tcW w:w="1117" w:type="dxa"/>
                  <w:vAlign w:val="center"/>
                </w:tcPr>
                <w:p>
                  <w:pPr>
                    <w:adjustRightInd w:val="0"/>
                    <w:snapToGrid w:val="0"/>
                    <w:spacing w:line="320" w:lineRule="exact"/>
                    <w:jc w:val="center"/>
                    <w:rPr>
                      <w:color w:val="auto"/>
                      <w:szCs w:val="21"/>
                    </w:rPr>
                  </w:pPr>
                  <w:r>
                    <w:rPr>
                      <w:color w:val="auto"/>
                      <w:szCs w:val="21"/>
                    </w:rPr>
                    <w:t>频发</w:t>
                  </w:r>
                </w:p>
              </w:tc>
              <w:tc>
                <w:tcPr>
                  <w:tcW w:w="817" w:type="dxa"/>
                  <w:vAlign w:val="center"/>
                </w:tcPr>
                <w:p>
                  <w:pPr>
                    <w:adjustRightInd w:val="0"/>
                    <w:snapToGrid w:val="0"/>
                    <w:spacing w:line="320" w:lineRule="exact"/>
                    <w:jc w:val="center"/>
                    <w:rPr>
                      <w:color w:val="auto"/>
                      <w:szCs w:val="21"/>
                    </w:rPr>
                  </w:pPr>
                  <w:r>
                    <w:rPr>
                      <w:rFonts w:hint="eastAsia"/>
                      <w:color w:val="auto"/>
                      <w:szCs w:val="21"/>
                    </w:rPr>
                    <w:t>78</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反冲洗泵（1台）</w:t>
                  </w:r>
                </w:p>
              </w:tc>
              <w:tc>
                <w:tcPr>
                  <w:tcW w:w="1117" w:type="dxa"/>
                  <w:vAlign w:val="center"/>
                </w:tcPr>
                <w:p>
                  <w:pPr>
                    <w:adjustRightInd w:val="0"/>
                    <w:snapToGrid w:val="0"/>
                    <w:spacing w:line="320" w:lineRule="exact"/>
                    <w:jc w:val="center"/>
                    <w:rPr>
                      <w:color w:val="auto"/>
                      <w:szCs w:val="21"/>
                    </w:rPr>
                  </w:pPr>
                  <w:r>
                    <w:rPr>
                      <w:rFonts w:hint="eastAsia"/>
                      <w:color w:val="auto"/>
                      <w:szCs w:val="21"/>
                    </w:rPr>
                    <w:t>偶</w:t>
                  </w:r>
                  <w:r>
                    <w:rPr>
                      <w:color w:val="auto"/>
                      <w:szCs w:val="21"/>
                    </w:rPr>
                    <w:t>发</w:t>
                  </w:r>
                </w:p>
              </w:tc>
              <w:tc>
                <w:tcPr>
                  <w:tcW w:w="817" w:type="dxa"/>
                  <w:vAlign w:val="center"/>
                </w:tcPr>
                <w:p>
                  <w:pPr>
                    <w:adjustRightInd w:val="0"/>
                    <w:snapToGrid w:val="0"/>
                    <w:spacing w:line="320" w:lineRule="exact"/>
                    <w:jc w:val="center"/>
                    <w:rPr>
                      <w:color w:val="auto"/>
                      <w:szCs w:val="21"/>
                    </w:rPr>
                  </w:pPr>
                  <w:r>
                    <w:rPr>
                      <w:rFonts w:hint="eastAsia"/>
                      <w:color w:val="auto"/>
                      <w:szCs w:val="21"/>
                    </w:rPr>
                    <w:t>75</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多功能泵（1台）</w:t>
                  </w:r>
                </w:p>
              </w:tc>
              <w:tc>
                <w:tcPr>
                  <w:tcW w:w="1117" w:type="dxa"/>
                  <w:vAlign w:val="center"/>
                </w:tcPr>
                <w:p>
                  <w:pPr>
                    <w:adjustRightInd w:val="0"/>
                    <w:snapToGrid w:val="0"/>
                    <w:spacing w:line="320" w:lineRule="exact"/>
                    <w:jc w:val="center"/>
                    <w:rPr>
                      <w:color w:val="auto"/>
                      <w:szCs w:val="21"/>
                    </w:rPr>
                  </w:pPr>
                  <w:r>
                    <w:rPr>
                      <w:rFonts w:hint="eastAsia"/>
                      <w:color w:val="auto"/>
                      <w:szCs w:val="21"/>
                    </w:rPr>
                    <w:t>偶</w:t>
                  </w:r>
                  <w:r>
                    <w:rPr>
                      <w:color w:val="auto"/>
                      <w:szCs w:val="21"/>
                    </w:rPr>
                    <w:t>发</w:t>
                  </w:r>
                </w:p>
              </w:tc>
              <w:tc>
                <w:tcPr>
                  <w:tcW w:w="817" w:type="dxa"/>
                  <w:vAlign w:val="center"/>
                </w:tcPr>
                <w:p>
                  <w:pPr>
                    <w:adjustRightInd w:val="0"/>
                    <w:snapToGrid w:val="0"/>
                    <w:spacing w:line="320" w:lineRule="exact"/>
                    <w:jc w:val="center"/>
                    <w:rPr>
                      <w:color w:val="auto"/>
                      <w:szCs w:val="21"/>
                    </w:rPr>
                  </w:pPr>
                  <w:r>
                    <w:rPr>
                      <w:rFonts w:hint="eastAsia"/>
                      <w:color w:val="auto"/>
                      <w:szCs w:val="21"/>
                    </w:rPr>
                    <w:t>75</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污水污泥罐提升泵（1台）</w:t>
                  </w:r>
                </w:p>
              </w:tc>
              <w:tc>
                <w:tcPr>
                  <w:tcW w:w="1117" w:type="dxa"/>
                  <w:vAlign w:val="center"/>
                </w:tcPr>
                <w:p>
                  <w:pPr>
                    <w:adjustRightInd w:val="0"/>
                    <w:snapToGrid w:val="0"/>
                    <w:spacing w:line="320" w:lineRule="exact"/>
                    <w:jc w:val="center"/>
                    <w:rPr>
                      <w:color w:val="auto"/>
                      <w:szCs w:val="21"/>
                    </w:rPr>
                  </w:pPr>
                  <w:r>
                    <w:rPr>
                      <w:rFonts w:hint="eastAsia"/>
                      <w:color w:val="auto"/>
                      <w:szCs w:val="21"/>
                    </w:rPr>
                    <w:t>偶</w:t>
                  </w:r>
                  <w:r>
                    <w:rPr>
                      <w:color w:val="auto"/>
                      <w:szCs w:val="21"/>
                    </w:rPr>
                    <w:t>发</w:t>
                  </w:r>
                </w:p>
              </w:tc>
              <w:tc>
                <w:tcPr>
                  <w:tcW w:w="817" w:type="dxa"/>
                  <w:vAlign w:val="center"/>
                </w:tcPr>
                <w:p>
                  <w:pPr>
                    <w:adjustRightInd w:val="0"/>
                    <w:snapToGrid w:val="0"/>
                    <w:spacing w:line="320" w:lineRule="exact"/>
                    <w:jc w:val="center"/>
                    <w:rPr>
                      <w:color w:val="auto"/>
                      <w:szCs w:val="21"/>
                    </w:rPr>
                  </w:pPr>
                  <w:r>
                    <w:rPr>
                      <w:rFonts w:hint="eastAsia"/>
                      <w:color w:val="auto"/>
                      <w:szCs w:val="21"/>
                    </w:rPr>
                    <w:t>70</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dxa"/>
                  <w:vMerge w:val="restart"/>
                  <w:vAlign w:val="center"/>
                </w:tcPr>
                <w:p>
                  <w:pPr>
                    <w:adjustRightInd w:val="0"/>
                    <w:snapToGrid w:val="0"/>
                    <w:spacing w:line="320" w:lineRule="exact"/>
                    <w:jc w:val="center"/>
                    <w:rPr>
                      <w:color w:val="auto"/>
                      <w:szCs w:val="21"/>
                    </w:rPr>
                  </w:pPr>
                  <w:r>
                    <w:rPr>
                      <w:rFonts w:hint="eastAsia"/>
                      <w:color w:val="auto"/>
                      <w:szCs w:val="21"/>
                    </w:rPr>
                    <w:t>3270站</w:t>
                  </w:r>
                </w:p>
              </w:tc>
              <w:tc>
                <w:tcPr>
                  <w:tcW w:w="2456" w:type="dxa"/>
                  <w:vAlign w:val="center"/>
                </w:tcPr>
                <w:p>
                  <w:pPr>
                    <w:adjustRightInd w:val="0"/>
                    <w:snapToGrid w:val="0"/>
                    <w:spacing w:line="320" w:lineRule="exact"/>
                    <w:jc w:val="center"/>
                    <w:rPr>
                      <w:color w:val="auto"/>
                      <w:szCs w:val="21"/>
                    </w:rPr>
                  </w:pPr>
                  <w:r>
                    <w:rPr>
                      <w:color w:val="auto"/>
                      <w:szCs w:val="21"/>
                    </w:rPr>
                    <w:t>卸水池提升泵</w:t>
                  </w:r>
                  <w:r>
                    <w:rPr>
                      <w:rFonts w:hint="eastAsia"/>
                      <w:color w:val="auto"/>
                      <w:szCs w:val="21"/>
                    </w:rPr>
                    <w:t>（1台）</w:t>
                  </w:r>
                </w:p>
              </w:tc>
              <w:tc>
                <w:tcPr>
                  <w:tcW w:w="1117" w:type="dxa"/>
                  <w:vAlign w:val="center"/>
                </w:tcPr>
                <w:p>
                  <w:pPr>
                    <w:adjustRightInd w:val="0"/>
                    <w:snapToGrid w:val="0"/>
                    <w:spacing w:line="320" w:lineRule="exact"/>
                    <w:jc w:val="center"/>
                    <w:rPr>
                      <w:color w:val="auto"/>
                      <w:szCs w:val="21"/>
                    </w:rPr>
                  </w:pPr>
                  <w:r>
                    <w:rPr>
                      <w:color w:val="auto"/>
                      <w:szCs w:val="21"/>
                    </w:rPr>
                    <w:t>频发</w:t>
                  </w:r>
                </w:p>
              </w:tc>
              <w:tc>
                <w:tcPr>
                  <w:tcW w:w="817" w:type="dxa"/>
                  <w:vAlign w:val="center"/>
                </w:tcPr>
                <w:p>
                  <w:pPr>
                    <w:adjustRightInd w:val="0"/>
                    <w:snapToGrid w:val="0"/>
                    <w:spacing w:line="320" w:lineRule="exact"/>
                    <w:jc w:val="center"/>
                    <w:rPr>
                      <w:color w:val="auto"/>
                      <w:szCs w:val="21"/>
                    </w:rPr>
                  </w:pPr>
                  <w:r>
                    <w:rPr>
                      <w:rFonts w:hint="eastAsia"/>
                      <w:color w:val="auto"/>
                      <w:szCs w:val="21"/>
                    </w:rPr>
                    <w:t>70</w:t>
                  </w:r>
                </w:p>
              </w:tc>
              <w:tc>
                <w:tcPr>
                  <w:tcW w:w="961" w:type="dxa"/>
                  <w:vMerge w:val="restart"/>
                  <w:vAlign w:val="center"/>
                </w:tcPr>
                <w:p>
                  <w:pPr>
                    <w:adjustRightInd w:val="0"/>
                    <w:snapToGrid w:val="0"/>
                    <w:spacing w:line="320" w:lineRule="exact"/>
                    <w:jc w:val="center"/>
                    <w:rPr>
                      <w:color w:val="auto"/>
                      <w:szCs w:val="21"/>
                    </w:rPr>
                  </w:pPr>
                  <w:r>
                    <w:rPr>
                      <w:rFonts w:hint="eastAsia"/>
                      <w:color w:val="auto"/>
                      <w:szCs w:val="21"/>
                    </w:rPr>
                    <w:t>基础</w:t>
                  </w:r>
                  <w:r>
                    <w:rPr>
                      <w:color w:val="auto"/>
                      <w:szCs w:val="21"/>
                    </w:rPr>
                    <w:t>减振</w:t>
                  </w:r>
                  <w:r>
                    <w:rPr>
                      <w:rFonts w:hint="eastAsia"/>
                      <w:color w:val="auto"/>
                      <w:szCs w:val="21"/>
                    </w:rPr>
                    <w:t>，选用低噪声设备</w:t>
                  </w:r>
                </w:p>
              </w:tc>
              <w:tc>
                <w:tcPr>
                  <w:tcW w:w="1025" w:type="dxa"/>
                  <w:vAlign w:val="center"/>
                </w:tcPr>
                <w:p>
                  <w:pPr>
                    <w:adjustRightInd w:val="0"/>
                    <w:snapToGrid w:val="0"/>
                    <w:spacing w:line="320" w:lineRule="exact"/>
                    <w:jc w:val="center"/>
                    <w:rPr>
                      <w:color w:val="auto"/>
                      <w:szCs w:val="21"/>
                    </w:rPr>
                  </w:pPr>
                  <w:r>
                    <w:rPr>
                      <w:rFonts w:hint="eastAsia"/>
                      <w:color w:val="auto"/>
                      <w:szCs w:val="21"/>
                    </w:rPr>
                    <w:t>-5</w:t>
                  </w:r>
                </w:p>
              </w:tc>
              <w:tc>
                <w:tcPr>
                  <w:tcW w:w="941" w:type="dxa"/>
                  <w:vAlign w:val="center"/>
                </w:tcPr>
                <w:p>
                  <w:pPr>
                    <w:adjustRightInd w:val="0"/>
                    <w:snapToGrid w:val="0"/>
                    <w:spacing w:line="320" w:lineRule="exact"/>
                    <w:jc w:val="center"/>
                    <w:rPr>
                      <w:color w:val="auto"/>
                      <w:szCs w:val="21"/>
                    </w:rPr>
                  </w:pPr>
                  <w:r>
                    <w:rPr>
                      <w:rFonts w:hint="eastAsia"/>
                      <w:color w:val="auto"/>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color w:val="auto"/>
                      <w:szCs w:val="21"/>
                    </w:rPr>
                    <w:t>污水提升泵</w:t>
                  </w:r>
                  <w:r>
                    <w:rPr>
                      <w:rFonts w:hint="eastAsia"/>
                      <w:color w:val="auto"/>
                      <w:szCs w:val="21"/>
                    </w:rPr>
                    <w:t>（2台）</w:t>
                  </w:r>
                </w:p>
              </w:tc>
              <w:tc>
                <w:tcPr>
                  <w:tcW w:w="1117" w:type="dxa"/>
                  <w:vAlign w:val="center"/>
                </w:tcPr>
                <w:p>
                  <w:pPr>
                    <w:adjustRightInd w:val="0"/>
                    <w:snapToGrid w:val="0"/>
                    <w:spacing w:line="320" w:lineRule="exact"/>
                    <w:jc w:val="center"/>
                    <w:rPr>
                      <w:color w:val="auto"/>
                      <w:szCs w:val="21"/>
                    </w:rPr>
                  </w:pPr>
                  <w:r>
                    <w:rPr>
                      <w:color w:val="auto"/>
                      <w:szCs w:val="21"/>
                    </w:rPr>
                    <w:t>频发</w:t>
                  </w:r>
                </w:p>
              </w:tc>
              <w:tc>
                <w:tcPr>
                  <w:tcW w:w="817" w:type="dxa"/>
                  <w:vAlign w:val="center"/>
                </w:tcPr>
                <w:p>
                  <w:pPr>
                    <w:adjustRightInd w:val="0"/>
                    <w:snapToGrid w:val="0"/>
                    <w:spacing w:line="320" w:lineRule="exact"/>
                    <w:jc w:val="center"/>
                    <w:rPr>
                      <w:color w:val="auto"/>
                      <w:szCs w:val="21"/>
                    </w:rPr>
                  </w:pPr>
                  <w:r>
                    <w:rPr>
                      <w:rFonts w:hint="eastAsia"/>
                      <w:color w:val="auto"/>
                      <w:szCs w:val="21"/>
                    </w:rPr>
                    <w:t>73</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加药</w:t>
                  </w:r>
                  <w:r>
                    <w:rPr>
                      <w:color w:val="auto"/>
                      <w:szCs w:val="21"/>
                    </w:rPr>
                    <w:t>泵</w:t>
                  </w:r>
                  <w:r>
                    <w:rPr>
                      <w:rFonts w:hint="eastAsia"/>
                      <w:color w:val="auto"/>
                      <w:szCs w:val="21"/>
                    </w:rPr>
                    <w:t>（5台）</w:t>
                  </w:r>
                </w:p>
              </w:tc>
              <w:tc>
                <w:tcPr>
                  <w:tcW w:w="1117" w:type="dxa"/>
                  <w:vAlign w:val="center"/>
                </w:tcPr>
                <w:p>
                  <w:pPr>
                    <w:adjustRightInd w:val="0"/>
                    <w:snapToGrid w:val="0"/>
                    <w:spacing w:line="320" w:lineRule="exact"/>
                    <w:jc w:val="center"/>
                    <w:rPr>
                      <w:color w:val="auto"/>
                      <w:szCs w:val="21"/>
                    </w:rPr>
                  </w:pPr>
                  <w:r>
                    <w:rPr>
                      <w:rFonts w:hint="eastAsia"/>
                      <w:color w:val="auto"/>
                      <w:szCs w:val="21"/>
                    </w:rPr>
                    <w:t>偶</w:t>
                  </w:r>
                  <w:r>
                    <w:rPr>
                      <w:color w:val="auto"/>
                      <w:szCs w:val="21"/>
                    </w:rPr>
                    <w:t>发</w:t>
                  </w:r>
                </w:p>
              </w:tc>
              <w:tc>
                <w:tcPr>
                  <w:tcW w:w="817" w:type="dxa"/>
                  <w:vAlign w:val="center"/>
                </w:tcPr>
                <w:p>
                  <w:pPr>
                    <w:adjustRightInd w:val="0"/>
                    <w:snapToGrid w:val="0"/>
                    <w:spacing w:line="320" w:lineRule="exact"/>
                    <w:jc w:val="center"/>
                    <w:rPr>
                      <w:color w:val="auto"/>
                      <w:szCs w:val="21"/>
                    </w:rPr>
                  </w:pPr>
                  <w:r>
                    <w:rPr>
                      <w:rFonts w:hint="eastAsia"/>
                      <w:color w:val="auto"/>
                      <w:szCs w:val="21"/>
                    </w:rPr>
                    <w:t>77</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过滤</w:t>
                  </w:r>
                  <w:r>
                    <w:rPr>
                      <w:color w:val="auto"/>
                      <w:szCs w:val="21"/>
                    </w:rPr>
                    <w:t>后水提升泵</w:t>
                  </w:r>
                  <w:r>
                    <w:rPr>
                      <w:rFonts w:hint="eastAsia"/>
                      <w:color w:val="auto"/>
                      <w:szCs w:val="21"/>
                    </w:rPr>
                    <w:t>（1台）</w:t>
                  </w:r>
                </w:p>
              </w:tc>
              <w:tc>
                <w:tcPr>
                  <w:tcW w:w="1117" w:type="dxa"/>
                  <w:vAlign w:val="center"/>
                </w:tcPr>
                <w:p>
                  <w:pPr>
                    <w:adjustRightInd w:val="0"/>
                    <w:snapToGrid w:val="0"/>
                    <w:spacing w:line="320" w:lineRule="exact"/>
                    <w:jc w:val="center"/>
                    <w:rPr>
                      <w:color w:val="auto"/>
                      <w:szCs w:val="21"/>
                    </w:rPr>
                  </w:pPr>
                  <w:r>
                    <w:rPr>
                      <w:color w:val="auto"/>
                      <w:szCs w:val="21"/>
                    </w:rPr>
                    <w:t>频发</w:t>
                  </w:r>
                </w:p>
              </w:tc>
              <w:tc>
                <w:tcPr>
                  <w:tcW w:w="817" w:type="dxa"/>
                  <w:vAlign w:val="center"/>
                </w:tcPr>
                <w:p>
                  <w:pPr>
                    <w:adjustRightInd w:val="0"/>
                    <w:snapToGrid w:val="0"/>
                    <w:spacing w:line="320" w:lineRule="exact"/>
                    <w:jc w:val="center"/>
                    <w:rPr>
                      <w:color w:val="auto"/>
                      <w:szCs w:val="21"/>
                    </w:rPr>
                  </w:pPr>
                  <w:r>
                    <w:rPr>
                      <w:rFonts w:hint="eastAsia"/>
                      <w:color w:val="auto"/>
                      <w:szCs w:val="21"/>
                    </w:rPr>
                    <w:t>70</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过滤器加压泵（2台）</w:t>
                  </w:r>
                </w:p>
              </w:tc>
              <w:tc>
                <w:tcPr>
                  <w:tcW w:w="1117" w:type="dxa"/>
                  <w:vAlign w:val="center"/>
                </w:tcPr>
                <w:p>
                  <w:pPr>
                    <w:adjustRightInd w:val="0"/>
                    <w:snapToGrid w:val="0"/>
                    <w:spacing w:line="320" w:lineRule="exact"/>
                    <w:jc w:val="center"/>
                    <w:rPr>
                      <w:color w:val="auto"/>
                      <w:szCs w:val="21"/>
                    </w:rPr>
                  </w:pPr>
                  <w:r>
                    <w:rPr>
                      <w:color w:val="auto"/>
                      <w:szCs w:val="21"/>
                    </w:rPr>
                    <w:t>频发</w:t>
                  </w:r>
                </w:p>
              </w:tc>
              <w:tc>
                <w:tcPr>
                  <w:tcW w:w="817" w:type="dxa"/>
                  <w:vAlign w:val="center"/>
                </w:tcPr>
                <w:p>
                  <w:pPr>
                    <w:adjustRightInd w:val="0"/>
                    <w:snapToGrid w:val="0"/>
                    <w:spacing w:line="320" w:lineRule="exact"/>
                    <w:jc w:val="center"/>
                    <w:rPr>
                      <w:color w:val="auto"/>
                      <w:szCs w:val="21"/>
                    </w:rPr>
                  </w:pPr>
                  <w:r>
                    <w:rPr>
                      <w:rFonts w:hint="eastAsia"/>
                      <w:color w:val="auto"/>
                      <w:szCs w:val="21"/>
                    </w:rPr>
                    <w:t>78</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反冲洗泵（1台）</w:t>
                  </w:r>
                </w:p>
              </w:tc>
              <w:tc>
                <w:tcPr>
                  <w:tcW w:w="1117" w:type="dxa"/>
                  <w:vAlign w:val="center"/>
                </w:tcPr>
                <w:p>
                  <w:pPr>
                    <w:adjustRightInd w:val="0"/>
                    <w:snapToGrid w:val="0"/>
                    <w:spacing w:line="320" w:lineRule="exact"/>
                    <w:jc w:val="center"/>
                    <w:rPr>
                      <w:color w:val="auto"/>
                      <w:szCs w:val="21"/>
                    </w:rPr>
                  </w:pPr>
                  <w:r>
                    <w:rPr>
                      <w:rFonts w:hint="eastAsia"/>
                      <w:color w:val="auto"/>
                      <w:szCs w:val="21"/>
                    </w:rPr>
                    <w:t>偶</w:t>
                  </w:r>
                  <w:r>
                    <w:rPr>
                      <w:color w:val="auto"/>
                      <w:szCs w:val="21"/>
                    </w:rPr>
                    <w:t>发</w:t>
                  </w:r>
                </w:p>
              </w:tc>
              <w:tc>
                <w:tcPr>
                  <w:tcW w:w="817" w:type="dxa"/>
                  <w:vAlign w:val="center"/>
                </w:tcPr>
                <w:p>
                  <w:pPr>
                    <w:adjustRightInd w:val="0"/>
                    <w:snapToGrid w:val="0"/>
                    <w:spacing w:line="320" w:lineRule="exact"/>
                    <w:jc w:val="center"/>
                    <w:rPr>
                      <w:color w:val="auto"/>
                      <w:szCs w:val="21"/>
                    </w:rPr>
                  </w:pPr>
                  <w:r>
                    <w:rPr>
                      <w:rFonts w:hint="eastAsia"/>
                      <w:color w:val="auto"/>
                      <w:szCs w:val="21"/>
                    </w:rPr>
                    <w:t>75</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多功能泵（1台）</w:t>
                  </w:r>
                </w:p>
              </w:tc>
              <w:tc>
                <w:tcPr>
                  <w:tcW w:w="1117" w:type="dxa"/>
                  <w:vAlign w:val="center"/>
                </w:tcPr>
                <w:p>
                  <w:pPr>
                    <w:adjustRightInd w:val="0"/>
                    <w:snapToGrid w:val="0"/>
                    <w:spacing w:line="320" w:lineRule="exact"/>
                    <w:jc w:val="center"/>
                    <w:rPr>
                      <w:color w:val="auto"/>
                      <w:szCs w:val="21"/>
                    </w:rPr>
                  </w:pPr>
                  <w:r>
                    <w:rPr>
                      <w:rFonts w:hint="eastAsia"/>
                      <w:color w:val="auto"/>
                      <w:szCs w:val="21"/>
                    </w:rPr>
                    <w:t>偶</w:t>
                  </w:r>
                  <w:r>
                    <w:rPr>
                      <w:color w:val="auto"/>
                      <w:szCs w:val="21"/>
                    </w:rPr>
                    <w:t>发</w:t>
                  </w:r>
                </w:p>
              </w:tc>
              <w:tc>
                <w:tcPr>
                  <w:tcW w:w="817" w:type="dxa"/>
                  <w:vAlign w:val="center"/>
                </w:tcPr>
                <w:p>
                  <w:pPr>
                    <w:adjustRightInd w:val="0"/>
                    <w:snapToGrid w:val="0"/>
                    <w:spacing w:line="320" w:lineRule="exact"/>
                    <w:jc w:val="center"/>
                    <w:rPr>
                      <w:color w:val="auto"/>
                      <w:szCs w:val="21"/>
                    </w:rPr>
                  </w:pPr>
                  <w:r>
                    <w:rPr>
                      <w:rFonts w:hint="eastAsia"/>
                      <w:color w:val="auto"/>
                      <w:szCs w:val="21"/>
                    </w:rPr>
                    <w:t>75</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污水污泥罐提升泵（1台）</w:t>
                  </w:r>
                </w:p>
              </w:tc>
              <w:tc>
                <w:tcPr>
                  <w:tcW w:w="1117" w:type="dxa"/>
                  <w:vAlign w:val="center"/>
                </w:tcPr>
                <w:p>
                  <w:pPr>
                    <w:adjustRightInd w:val="0"/>
                    <w:snapToGrid w:val="0"/>
                    <w:spacing w:line="320" w:lineRule="exact"/>
                    <w:jc w:val="center"/>
                    <w:rPr>
                      <w:color w:val="auto"/>
                      <w:szCs w:val="21"/>
                    </w:rPr>
                  </w:pPr>
                  <w:r>
                    <w:rPr>
                      <w:rFonts w:hint="eastAsia"/>
                      <w:color w:val="auto"/>
                      <w:szCs w:val="21"/>
                    </w:rPr>
                    <w:t>偶</w:t>
                  </w:r>
                  <w:r>
                    <w:rPr>
                      <w:color w:val="auto"/>
                      <w:szCs w:val="21"/>
                    </w:rPr>
                    <w:t>发</w:t>
                  </w:r>
                </w:p>
              </w:tc>
              <w:tc>
                <w:tcPr>
                  <w:tcW w:w="817" w:type="dxa"/>
                  <w:vAlign w:val="center"/>
                </w:tcPr>
                <w:p>
                  <w:pPr>
                    <w:adjustRightInd w:val="0"/>
                    <w:snapToGrid w:val="0"/>
                    <w:spacing w:line="320" w:lineRule="exact"/>
                    <w:jc w:val="center"/>
                    <w:rPr>
                      <w:color w:val="auto"/>
                      <w:szCs w:val="21"/>
                    </w:rPr>
                  </w:pPr>
                  <w:r>
                    <w:rPr>
                      <w:rFonts w:hint="eastAsia"/>
                      <w:color w:val="auto"/>
                      <w:szCs w:val="21"/>
                    </w:rPr>
                    <w:t>70</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-5</w:t>
                  </w:r>
                </w:p>
              </w:tc>
              <w:tc>
                <w:tcPr>
                  <w:tcW w:w="941" w:type="dxa"/>
                  <w:vAlign w:val="center"/>
                </w:tcPr>
                <w:p>
                  <w:pPr>
                    <w:adjustRightInd w:val="0"/>
                    <w:snapToGrid w:val="0"/>
                    <w:spacing w:line="320" w:lineRule="exact"/>
                    <w:jc w:val="center"/>
                    <w:rPr>
                      <w:color w:val="auto"/>
                      <w:szCs w:val="21"/>
                    </w:rPr>
                  </w:pPr>
                  <w:r>
                    <w:rPr>
                      <w:rFonts w:hint="eastAsia"/>
                      <w:color w:val="auto"/>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dxa"/>
                  <w:vMerge w:val="restart"/>
                  <w:vAlign w:val="center"/>
                </w:tcPr>
                <w:p>
                  <w:pPr>
                    <w:adjustRightInd w:val="0"/>
                    <w:snapToGrid w:val="0"/>
                    <w:spacing w:line="320" w:lineRule="exact"/>
                    <w:jc w:val="center"/>
                    <w:rPr>
                      <w:color w:val="auto"/>
                      <w:szCs w:val="21"/>
                    </w:rPr>
                  </w:pPr>
                  <w:r>
                    <w:rPr>
                      <w:rFonts w:hint="eastAsia"/>
                      <w:color w:val="auto"/>
                      <w:szCs w:val="21"/>
                    </w:rPr>
                    <w:t>4926-4站</w:t>
                  </w:r>
                </w:p>
              </w:tc>
              <w:tc>
                <w:tcPr>
                  <w:tcW w:w="2456" w:type="dxa"/>
                  <w:vAlign w:val="center"/>
                </w:tcPr>
                <w:p>
                  <w:pPr>
                    <w:adjustRightInd w:val="0"/>
                    <w:snapToGrid w:val="0"/>
                    <w:spacing w:line="320" w:lineRule="exact"/>
                    <w:jc w:val="center"/>
                    <w:rPr>
                      <w:color w:val="auto"/>
                      <w:szCs w:val="21"/>
                      <w:lang w:val="zh-CN"/>
                    </w:rPr>
                  </w:pPr>
                  <w:r>
                    <w:rPr>
                      <w:color w:val="auto"/>
                      <w:szCs w:val="21"/>
                    </w:rPr>
                    <w:t>卸水池提升泵</w:t>
                  </w:r>
                  <w:r>
                    <w:rPr>
                      <w:rFonts w:hint="eastAsia"/>
                      <w:color w:val="auto"/>
                      <w:szCs w:val="21"/>
                    </w:rPr>
                    <w:t>（1台）</w:t>
                  </w:r>
                </w:p>
              </w:tc>
              <w:tc>
                <w:tcPr>
                  <w:tcW w:w="1117" w:type="dxa"/>
                  <w:vAlign w:val="center"/>
                </w:tcPr>
                <w:p>
                  <w:pPr>
                    <w:adjustRightInd w:val="0"/>
                    <w:snapToGrid w:val="0"/>
                    <w:spacing w:line="320" w:lineRule="exact"/>
                    <w:jc w:val="center"/>
                    <w:rPr>
                      <w:color w:val="auto"/>
                      <w:szCs w:val="21"/>
                    </w:rPr>
                  </w:pPr>
                  <w:r>
                    <w:rPr>
                      <w:color w:val="auto"/>
                      <w:szCs w:val="21"/>
                    </w:rPr>
                    <w:t>频发</w:t>
                  </w:r>
                </w:p>
              </w:tc>
              <w:tc>
                <w:tcPr>
                  <w:tcW w:w="817" w:type="dxa"/>
                  <w:vAlign w:val="center"/>
                </w:tcPr>
                <w:p>
                  <w:pPr>
                    <w:adjustRightInd w:val="0"/>
                    <w:snapToGrid w:val="0"/>
                    <w:spacing w:line="320" w:lineRule="exact"/>
                    <w:jc w:val="center"/>
                    <w:rPr>
                      <w:color w:val="auto"/>
                      <w:szCs w:val="21"/>
                    </w:rPr>
                  </w:pPr>
                  <w:r>
                    <w:rPr>
                      <w:rFonts w:hint="eastAsia"/>
                      <w:color w:val="auto"/>
                      <w:szCs w:val="21"/>
                    </w:rPr>
                    <w:t>70</w:t>
                  </w:r>
                </w:p>
              </w:tc>
              <w:tc>
                <w:tcPr>
                  <w:tcW w:w="961" w:type="dxa"/>
                  <w:vMerge w:val="restart"/>
                  <w:vAlign w:val="center"/>
                </w:tcPr>
                <w:p>
                  <w:pPr>
                    <w:adjustRightInd w:val="0"/>
                    <w:snapToGrid w:val="0"/>
                    <w:spacing w:line="320" w:lineRule="exact"/>
                    <w:jc w:val="center"/>
                    <w:rPr>
                      <w:color w:val="auto"/>
                      <w:szCs w:val="21"/>
                    </w:rPr>
                  </w:pPr>
                  <w:r>
                    <w:rPr>
                      <w:rFonts w:hint="eastAsia"/>
                      <w:color w:val="auto"/>
                      <w:szCs w:val="21"/>
                    </w:rPr>
                    <w:t>基础</w:t>
                  </w:r>
                  <w:r>
                    <w:rPr>
                      <w:color w:val="auto"/>
                      <w:szCs w:val="21"/>
                    </w:rPr>
                    <w:t>减振</w:t>
                  </w:r>
                  <w:r>
                    <w:rPr>
                      <w:rFonts w:hint="eastAsia"/>
                      <w:color w:val="auto"/>
                      <w:szCs w:val="21"/>
                    </w:rPr>
                    <w:t>，选用低噪声设备</w:t>
                  </w:r>
                </w:p>
              </w:tc>
              <w:tc>
                <w:tcPr>
                  <w:tcW w:w="1025" w:type="dxa"/>
                  <w:vAlign w:val="center"/>
                </w:tcPr>
                <w:p>
                  <w:pPr>
                    <w:adjustRightInd w:val="0"/>
                    <w:snapToGrid w:val="0"/>
                    <w:spacing w:line="320" w:lineRule="exact"/>
                    <w:jc w:val="center"/>
                    <w:rPr>
                      <w:color w:val="auto"/>
                      <w:szCs w:val="21"/>
                    </w:rPr>
                  </w:pPr>
                  <w:r>
                    <w:rPr>
                      <w:rFonts w:hint="eastAsia"/>
                      <w:color w:val="auto"/>
                      <w:szCs w:val="21"/>
                    </w:rPr>
                    <w:t>-5</w:t>
                  </w:r>
                </w:p>
              </w:tc>
              <w:tc>
                <w:tcPr>
                  <w:tcW w:w="941" w:type="dxa"/>
                  <w:vAlign w:val="center"/>
                </w:tcPr>
                <w:p>
                  <w:pPr>
                    <w:adjustRightInd w:val="0"/>
                    <w:snapToGrid w:val="0"/>
                    <w:spacing w:line="320" w:lineRule="exact"/>
                    <w:jc w:val="center"/>
                    <w:rPr>
                      <w:color w:val="auto"/>
                      <w:szCs w:val="21"/>
                    </w:rPr>
                  </w:pPr>
                  <w:r>
                    <w:rPr>
                      <w:rFonts w:hint="eastAsia"/>
                      <w:color w:val="auto"/>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lang w:val="zh-CN"/>
                    </w:rPr>
                  </w:pPr>
                  <w:r>
                    <w:rPr>
                      <w:color w:val="auto"/>
                      <w:szCs w:val="21"/>
                    </w:rPr>
                    <w:t>污水提升泵</w:t>
                  </w:r>
                  <w:r>
                    <w:rPr>
                      <w:rFonts w:hint="eastAsia"/>
                      <w:color w:val="auto"/>
                      <w:szCs w:val="21"/>
                    </w:rPr>
                    <w:t>（1台）</w:t>
                  </w:r>
                </w:p>
              </w:tc>
              <w:tc>
                <w:tcPr>
                  <w:tcW w:w="1117" w:type="dxa"/>
                  <w:vAlign w:val="center"/>
                </w:tcPr>
                <w:p>
                  <w:pPr>
                    <w:adjustRightInd w:val="0"/>
                    <w:snapToGrid w:val="0"/>
                    <w:spacing w:line="320" w:lineRule="exact"/>
                    <w:jc w:val="center"/>
                    <w:rPr>
                      <w:color w:val="auto"/>
                      <w:szCs w:val="21"/>
                    </w:rPr>
                  </w:pPr>
                  <w:r>
                    <w:rPr>
                      <w:color w:val="auto"/>
                      <w:szCs w:val="21"/>
                    </w:rPr>
                    <w:t>频发</w:t>
                  </w:r>
                </w:p>
              </w:tc>
              <w:tc>
                <w:tcPr>
                  <w:tcW w:w="817" w:type="dxa"/>
                  <w:vAlign w:val="center"/>
                </w:tcPr>
                <w:p>
                  <w:pPr>
                    <w:adjustRightInd w:val="0"/>
                    <w:snapToGrid w:val="0"/>
                    <w:spacing w:line="320" w:lineRule="exact"/>
                    <w:jc w:val="center"/>
                    <w:rPr>
                      <w:color w:val="auto"/>
                      <w:szCs w:val="21"/>
                    </w:rPr>
                  </w:pPr>
                  <w:r>
                    <w:rPr>
                      <w:rFonts w:hint="eastAsia"/>
                      <w:color w:val="auto"/>
                      <w:szCs w:val="21"/>
                    </w:rPr>
                    <w:t>70</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加药</w:t>
                  </w:r>
                  <w:r>
                    <w:rPr>
                      <w:color w:val="auto"/>
                      <w:szCs w:val="21"/>
                    </w:rPr>
                    <w:t>泵</w:t>
                  </w:r>
                  <w:r>
                    <w:rPr>
                      <w:rFonts w:hint="eastAsia"/>
                      <w:color w:val="auto"/>
                      <w:szCs w:val="21"/>
                    </w:rPr>
                    <w:t>（5台）</w:t>
                  </w:r>
                </w:p>
              </w:tc>
              <w:tc>
                <w:tcPr>
                  <w:tcW w:w="1117" w:type="dxa"/>
                  <w:vAlign w:val="center"/>
                </w:tcPr>
                <w:p>
                  <w:pPr>
                    <w:adjustRightInd w:val="0"/>
                    <w:snapToGrid w:val="0"/>
                    <w:spacing w:line="320" w:lineRule="exact"/>
                    <w:jc w:val="center"/>
                    <w:rPr>
                      <w:color w:val="auto"/>
                      <w:szCs w:val="21"/>
                    </w:rPr>
                  </w:pPr>
                  <w:r>
                    <w:rPr>
                      <w:rFonts w:hint="eastAsia"/>
                      <w:color w:val="auto"/>
                      <w:szCs w:val="21"/>
                    </w:rPr>
                    <w:t>偶</w:t>
                  </w:r>
                  <w:r>
                    <w:rPr>
                      <w:color w:val="auto"/>
                      <w:szCs w:val="21"/>
                    </w:rPr>
                    <w:t>发</w:t>
                  </w:r>
                </w:p>
              </w:tc>
              <w:tc>
                <w:tcPr>
                  <w:tcW w:w="817" w:type="dxa"/>
                  <w:vAlign w:val="center"/>
                </w:tcPr>
                <w:p>
                  <w:pPr>
                    <w:adjustRightInd w:val="0"/>
                    <w:snapToGrid w:val="0"/>
                    <w:spacing w:line="320" w:lineRule="exact"/>
                    <w:jc w:val="center"/>
                    <w:rPr>
                      <w:color w:val="auto"/>
                      <w:szCs w:val="21"/>
                    </w:rPr>
                  </w:pPr>
                  <w:r>
                    <w:rPr>
                      <w:rFonts w:hint="eastAsia"/>
                      <w:color w:val="auto"/>
                      <w:szCs w:val="21"/>
                    </w:rPr>
                    <w:t>77</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dxa"/>
                  <w:vMerge w:val="continue"/>
                  <w:vAlign w:val="center"/>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过滤</w:t>
                  </w:r>
                  <w:r>
                    <w:rPr>
                      <w:color w:val="auto"/>
                      <w:szCs w:val="21"/>
                    </w:rPr>
                    <w:t>后水提升泵</w:t>
                  </w:r>
                  <w:r>
                    <w:rPr>
                      <w:rFonts w:hint="eastAsia"/>
                      <w:color w:val="auto"/>
                      <w:szCs w:val="21"/>
                    </w:rPr>
                    <w:t>（1台）</w:t>
                  </w:r>
                </w:p>
              </w:tc>
              <w:tc>
                <w:tcPr>
                  <w:tcW w:w="1117" w:type="dxa"/>
                  <w:vAlign w:val="center"/>
                </w:tcPr>
                <w:p>
                  <w:pPr>
                    <w:adjustRightInd w:val="0"/>
                    <w:snapToGrid w:val="0"/>
                    <w:spacing w:line="320" w:lineRule="exact"/>
                    <w:jc w:val="center"/>
                    <w:rPr>
                      <w:color w:val="auto"/>
                      <w:szCs w:val="21"/>
                    </w:rPr>
                  </w:pPr>
                  <w:r>
                    <w:rPr>
                      <w:color w:val="auto"/>
                      <w:szCs w:val="21"/>
                    </w:rPr>
                    <w:t>频发</w:t>
                  </w:r>
                </w:p>
              </w:tc>
              <w:tc>
                <w:tcPr>
                  <w:tcW w:w="817" w:type="dxa"/>
                  <w:vAlign w:val="center"/>
                </w:tcPr>
                <w:p>
                  <w:pPr>
                    <w:adjustRightInd w:val="0"/>
                    <w:snapToGrid w:val="0"/>
                    <w:spacing w:line="320" w:lineRule="exact"/>
                    <w:jc w:val="center"/>
                    <w:rPr>
                      <w:color w:val="auto"/>
                      <w:szCs w:val="21"/>
                    </w:rPr>
                  </w:pPr>
                  <w:r>
                    <w:rPr>
                      <w:rFonts w:hint="eastAsia"/>
                      <w:color w:val="auto"/>
                      <w:szCs w:val="21"/>
                    </w:rPr>
                    <w:t>70</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61" w:type="dxa"/>
                  <w:vMerge w:val="continue"/>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过滤器加压泵（1台）</w:t>
                  </w:r>
                </w:p>
              </w:tc>
              <w:tc>
                <w:tcPr>
                  <w:tcW w:w="1117" w:type="dxa"/>
                  <w:vAlign w:val="center"/>
                </w:tcPr>
                <w:p>
                  <w:pPr>
                    <w:adjustRightInd w:val="0"/>
                    <w:snapToGrid w:val="0"/>
                    <w:spacing w:line="320" w:lineRule="exact"/>
                    <w:jc w:val="center"/>
                    <w:rPr>
                      <w:color w:val="auto"/>
                      <w:szCs w:val="21"/>
                    </w:rPr>
                  </w:pPr>
                  <w:r>
                    <w:rPr>
                      <w:color w:val="auto"/>
                      <w:szCs w:val="21"/>
                    </w:rPr>
                    <w:t>频发</w:t>
                  </w:r>
                </w:p>
              </w:tc>
              <w:tc>
                <w:tcPr>
                  <w:tcW w:w="817" w:type="dxa"/>
                  <w:vAlign w:val="center"/>
                </w:tcPr>
                <w:p>
                  <w:pPr>
                    <w:adjustRightInd w:val="0"/>
                    <w:snapToGrid w:val="0"/>
                    <w:spacing w:line="320" w:lineRule="exact"/>
                    <w:jc w:val="center"/>
                    <w:rPr>
                      <w:color w:val="auto"/>
                      <w:szCs w:val="21"/>
                    </w:rPr>
                  </w:pPr>
                  <w:r>
                    <w:rPr>
                      <w:rFonts w:hint="eastAsia"/>
                      <w:color w:val="auto"/>
                      <w:szCs w:val="21"/>
                    </w:rPr>
                    <w:t>75</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61" w:type="dxa"/>
                  <w:vMerge w:val="continue"/>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反冲洗泵（1台）</w:t>
                  </w:r>
                </w:p>
              </w:tc>
              <w:tc>
                <w:tcPr>
                  <w:tcW w:w="1117" w:type="dxa"/>
                  <w:vAlign w:val="center"/>
                </w:tcPr>
                <w:p>
                  <w:pPr>
                    <w:adjustRightInd w:val="0"/>
                    <w:snapToGrid w:val="0"/>
                    <w:spacing w:line="320" w:lineRule="exact"/>
                    <w:jc w:val="center"/>
                    <w:rPr>
                      <w:color w:val="auto"/>
                      <w:szCs w:val="21"/>
                    </w:rPr>
                  </w:pPr>
                  <w:r>
                    <w:rPr>
                      <w:rFonts w:hint="eastAsia"/>
                      <w:color w:val="auto"/>
                      <w:szCs w:val="21"/>
                    </w:rPr>
                    <w:t>偶</w:t>
                  </w:r>
                  <w:r>
                    <w:rPr>
                      <w:color w:val="auto"/>
                      <w:szCs w:val="21"/>
                    </w:rPr>
                    <w:t>发</w:t>
                  </w:r>
                </w:p>
              </w:tc>
              <w:tc>
                <w:tcPr>
                  <w:tcW w:w="817" w:type="dxa"/>
                  <w:vAlign w:val="center"/>
                </w:tcPr>
                <w:p>
                  <w:pPr>
                    <w:adjustRightInd w:val="0"/>
                    <w:snapToGrid w:val="0"/>
                    <w:spacing w:line="320" w:lineRule="exact"/>
                    <w:jc w:val="center"/>
                    <w:rPr>
                      <w:color w:val="auto"/>
                      <w:szCs w:val="21"/>
                    </w:rPr>
                  </w:pPr>
                  <w:r>
                    <w:rPr>
                      <w:rFonts w:hint="eastAsia"/>
                      <w:color w:val="auto"/>
                      <w:szCs w:val="21"/>
                    </w:rPr>
                    <w:t>75</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61" w:type="dxa"/>
                  <w:vMerge w:val="continue"/>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多功能泵（1台）</w:t>
                  </w:r>
                </w:p>
              </w:tc>
              <w:tc>
                <w:tcPr>
                  <w:tcW w:w="1117" w:type="dxa"/>
                  <w:vAlign w:val="center"/>
                </w:tcPr>
                <w:p>
                  <w:pPr>
                    <w:adjustRightInd w:val="0"/>
                    <w:snapToGrid w:val="0"/>
                    <w:spacing w:line="320" w:lineRule="exact"/>
                    <w:jc w:val="center"/>
                    <w:rPr>
                      <w:color w:val="auto"/>
                      <w:szCs w:val="21"/>
                    </w:rPr>
                  </w:pPr>
                  <w:r>
                    <w:rPr>
                      <w:rFonts w:hint="eastAsia"/>
                      <w:color w:val="auto"/>
                      <w:szCs w:val="21"/>
                    </w:rPr>
                    <w:t>偶</w:t>
                  </w:r>
                  <w:r>
                    <w:rPr>
                      <w:color w:val="auto"/>
                      <w:szCs w:val="21"/>
                    </w:rPr>
                    <w:t>发</w:t>
                  </w:r>
                </w:p>
              </w:tc>
              <w:tc>
                <w:tcPr>
                  <w:tcW w:w="817" w:type="dxa"/>
                  <w:vAlign w:val="center"/>
                </w:tcPr>
                <w:p>
                  <w:pPr>
                    <w:adjustRightInd w:val="0"/>
                    <w:snapToGrid w:val="0"/>
                    <w:spacing w:line="320" w:lineRule="exact"/>
                    <w:jc w:val="center"/>
                    <w:rPr>
                      <w:color w:val="auto"/>
                      <w:szCs w:val="21"/>
                    </w:rPr>
                  </w:pPr>
                  <w:r>
                    <w:rPr>
                      <w:rFonts w:hint="eastAsia"/>
                      <w:color w:val="auto"/>
                      <w:szCs w:val="21"/>
                    </w:rPr>
                    <w:t>75</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-8</w:t>
                  </w:r>
                </w:p>
              </w:tc>
              <w:tc>
                <w:tcPr>
                  <w:tcW w:w="941" w:type="dxa"/>
                  <w:vAlign w:val="center"/>
                </w:tcPr>
                <w:p>
                  <w:pPr>
                    <w:adjustRightInd w:val="0"/>
                    <w:snapToGrid w:val="0"/>
                    <w:spacing w:line="320" w:lineRule="exact"/>
                    <w:jc w:val="center"/>
                    <w:rPr>
                      <w:color w:val="auto"/>
                      <w:szCs w:val="21"/>
                    </w:rPr>
                  </w:pPr>
                  <w:r>
                    <w:rPr>
                      <w:rFonts w:hint="eastAsia"/>
                      <w:color w:val="auto"/>
                      <w:szCs w:val="21"/>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61" w:type="dxa"/>
                  <w:vMerge w:val="continue"/>
                </w:tcPr>
                <w:p>
                  <w:pPr>
                    <w:adjustRightInd w:val="0"/>
                    <w:snapToGrid w:val="0"/>
                    <w:spacing w:line="320" w:lineRule="exact"/>
                    <w:jc w:val="center"/>
                    <w:rPr>
                      <w:color w:val="auto"/>
                      <w:szCs w:val="21"/>
                    </w:rPr>
                  </w:pPr>
                </w:p>
              </w:tc>
              <w:tc>
                <w:tcPr>
                  <w:tcW w:w="2456" w:type="dxa"/>
                  <w:vAlign w:val="center"/>
                </w:tcPr>
                <w:p>
                  <w:pPr>
                    <w:adjustRightInd w:val="0"/>
                    <w:snapToGrid w:val="0"/>
                    <w:spacing w:line="320" w:lineRule="exact"/>
                    <w:jc w:val="center"/>
                    <w:rPr>
                      <w:color w:val="auto"/>
                      <w:szCs w:val="21"/>
                    </w:rPr>
                  </w:pPr>
                  <w:r>
                    <w:rPr>
                      <w:rFonts w:hint="eastAsia"/>
                      <w:color w:val="auto"/>
                      <w:szCs w:val="21"/>
                    </w:rPr>
                    <w:t>污水污泥罐提升泵（1台）</w:t>
                  </w:r>
                </w:p>
              </w:tc>
              <w:tc>
                <w:tcPr>
                  <w:tcW w:w="1117" w:type="dxa"/>
                  <w:vAlign w:val="center"/>
                </w:tcPr>
                <w:p>
                  <w:pPr>
                    <w:adjustRightInd w:val="0"/>
                    <w:snapToGrid w:val="0"/>
                    <w:spacing w:line="320" w:lineRule="exact"/>
                    <w:jc w:val="center"/>
                    <w:rPr>
                      <w:color w:val="auto"/>
                      <w:szCs w:val="21"/>
                    </w:rPr>
                  </w:pPr>
                  <w:r>
                    <w:rPr>
                      <w:rFonts w:hint="eastAsia"/>
                      <w:color w:val="auto"/>
                      <w:szCs w:val="21"/>
                    </w:rPr>
                    <w:t>偶</w:t>
                  </w:r>
                  <w:r>
                    <w:rPr>
                      <w:color w:val="auto"/>
                      <w:szCs w:val="21"/>
                    </w:rPr>
                    <w:t>发</w:t>
                  </w:r>
                </w:p>
              </w:tc>
              <w:tc>
                <w:tcPr>
                  <w:tcW w:w="817" w:type="dxa"/>
                  <w:vAlign w:val="center"/>
                </w:tcPr>
                <w:p>
                  <w:pPr>
                    <w:adjustRightInd w:val="0"/>
                    <w:snapToGrid w:val="0"/>
                    <w:spacing w:line="320" w:lineRule="exact"/>
                    <w:jc w:val="center"/>
                    <w:rPr>
                      <w:color w:val="auto"/>
                      <w:szCs w:val="21"/>
                    </w:rPr>
                  </w:pPr>
                  <w:r>
                    <w:rPr>
                      <w:rFonts w:hint="eastAsia"/>
                      <w:color w:val="auto"/>
                      <w:szCs w:val="21"/>
                    </w:rPr>
                    <w:t>70</w:t>
                  </w:r>
                </w:p>
              </w:tc>
              <w:tc>
                <w:tcPr>
                  <w:tcW w:w="961" w:type="dxa"/>
                  <w:vMerge w:val="continue"/>
                  <w:vAlign w:val="center"/>
                </w:tcPr>
                <w:p>
                  <w:pPr>
                    <w:adjustRightInd w:val="0"/>
                    <w:snapToGrid w:val="0"/>
                    <w:spacing w:line="320" w:lineRule="exact"/>
                    <w:jc w:val="center"/>
                    <w:rPr>
                      <w:color w:val="auto"/>
                      <w:szCs w:val="21"/>
                    </w:rPr>
                  </w:pPr>
                </w:p>
              </w:tc>
              <w:tc>
                <w:tcPr>
                  <w:tcW w:w="1025" w:type="dxa"/>
                  <w:vAlign w:val="center"/>
                </w:tcPr>
                <w:p>
                  <w:pPr>
                    <w:adjustRightInd w:val="0"/>
                    <w:snapToGrid w:val="0"/>
                    <w:spacing w:line="320" w:lineRule="exact"/>
                    <w:jc w:val="center"/>
                    <w:rPr>
                      <w:color w:val="auto"/>
                      <w:szCs w:val="21"/>
                    </w:rPr>
                  </w:pPr>
                  <w:r>
                    <w:rPr>
                      <w:rFonts w:hint="eastAsia"/>
                      <w:color w:val="auto"/>
                      <w:szCs w:val="21"/>
                    </w:rPr>
                    <w:t>-5</w:t>
                  </w:r>
                </w:p>
              </w:tc>
              <w:tc>
                <w:tcPr>
                  <w:tcW w:w="941" w:type="dxa"/>
                  <w:vAlign w:val="center"/>
                </w:tcPr>
                <w:p>
                  <w:pPr>
                    <w:adjustRightInd w:val="0"/>
                    <w:snapToGrid w:val="0"/>
                    <w:spacing w:line="320" w:lineRule="exact"/>
                    <w:jc w:val="center"/>
                    <w:rPr>
                      <w:color w:val="auto"/>
                      <w:szCs w:val="21"/>
                    </w:rPr>
                  </w:pPr>
                  <w:r>
                    <w:rPr>
                      <w:rFonts w:hint="eastAsia"/>
                      <w:color w:val="auto"/>
                      <w:szCs w:val="21"/>
                    </w:rPr>
                    <w:t>65</w:t>
                  </w:r>
                </w:p>
              </w:tc>
            </w:tr>
          </w:tbl>
          <w:p>
            <w:pPr>
              <w:spacing w:line="360" w:lineRule="auto"/>
              <w:ind w:firstLine="480" w:firstLineChars="200"/>
              <w:rPr>
                <w:bCs/>
                <w:snapToGrid w:val="0"/>
                <w:color w:val="auto"/>
                <w:kern w:val="0"/>
                <w:sz w:val="24"/>
              </w:rPr>
            </w:pPr>
            <w:r>
              <w:rPr>
                <w:rFonts w:hint="eastAsia"/>
                <w:bCs/>
                <w:snapToGrid w:val="0"/>
                <w:color w:val="auto"/>
                <w:kern w:val="0"/>
                <w:sz w:val="24"/>
              </w:rPr>
              <w:t>⑵ 环境影响分析</w:t>
            </w:r>
          </w:p>
          <w:p>
            <w:pPr>
              <w:spacing w:line="360" w:lineRule="auto"/>
              <w:ind w:firstLine="480" w:firstLineChars="200"/>
              <w:rPr>
                <w:bCs/>
                <w:snapToGrid w:val="0"/>
                <w:color w:val="auto"/>
                <w:kern w:val="0"/>
                <w:sz w:val="24"/>
              </w:rPr>
            </w:pPr>
            <w:r>
              <w:rPr>
                <w:rFonts w:hint="eastAsia"/>
                <w:bCs/>
                <w:snapToGrid w:val="0"/>
                <w:color w:val="auto"/>
                <w:kern w:val="0"/>
                <w:sz w:val="24"/>
              </w:rPr>
              <w:fldChar w:fldCharType="begin"/>
            </w:r>
            <w:r>
              <w:rPr>
                <w:rFonts w:hint="eastAsia"/>
                <w:bCs/>
                <w:snapToGrid w:val="0"/>
                <w:color w:val="auto"/>
                <w:kern w:val="0"/>
                <w:sz w:val="24"/>
              </w:rPr>
              <w:instrText xml:space="preserve"> = 1 \* GB3 </w:instrText>
            </w:r>
            <w:r>
              <w:rPr>
                <w:rFonts w:hint="eastAsia"/>
                <w:bCs/>
                <w:snapToGrid w:val="0"/>
                <w:color w:val="auto"/>
                <w:kern w:val="0"/>
                <w:sz w:val="24"/>
              </w:rPr>
              <w:fldChar w:fldCharType="separate"/>
            </w:r>
            <w:r>
              <w:rPr>
                <w:rFonts w:hint="eastAsia"/>
                <w:bCs/>
                <w:snapToGrid w:val="0"/>
                <w:color w:val="auto"/>
                <w:kern w:val="0"/>
                <w:sz w:val="24"/>
              </w:rPr>
              <w:t>①</w:t>
            </w:r>
            <w:r>
              <w:rPr>
                <w:rFonts w:hint="eastAsia"/>
                <w:bCs/>
                <w:snapToGrid w:val="0"/>
                <w:color w:val="auto"/>
                <w:kern w:val="0"/>
                <w:sz w:val="24"/>
              </w:rPr>
              <w:fldChar w:fldCharType="end"/>
            </w:r>
            <w:r>
              <w:rPr>
                <w:rFonts w:hint="eastAsia"/>
                <w:bCs/>
                <w:snapToGrid w:val="0"/>
                <w:color w:val="auto"/>
                <w:kern w:val="0"/>
                <w:sz w:val="24"/>
              </w:rPr>
              <w:t xml:space="preserve"> 预测点位置</w:t>
            </w:r>
          </w:p>
          <w:p>
            <w:pPr>
              <w:spacing w:line="360" w:lineRule="auto"/>
              <w:ind w:firstLine="480" w:firstLineChars="200"/>
              <w:rPr>
                <w:bCs/>
                <w:snapToGrid w:val="0"/>
                <w:color w:val="auto"/>
                <w:kern w:val="0"/>
                <w:sz w:val="24"/>
              </w:rPr>
            </w:pPr>
            <w:r>
              <w:rPr>
                <w:rFonts w:hint="eastAsia"/>
                <w:bCs/>
                <w:snapToGrid w:val="0"/>
                <w:color w:val="auto"/>
                <w:kern w:val="0"/>
                <w:sz w:val="24"/>
              </w:rPr>
              <w:t>噪声预测选择在厂界四周各设1个共4个点，项目各噪声预测点位置分布见表4-3。</w:t>
            </w:r>
          </w:p>
          <w:p>
            <w:pPr>
              <w:spacing w:line="360" w:lineRule="auto"/>
              <w:jc w:val="center"/>
              <w:rPr>
                <w:color w:val="auto"/>
                <w:szCs w:val="21"/>
              </w:rPr>
            </w:pPr>
            <w:r>
              <w:rPr>
                <w:rFonts w:hint="eastAsia" w:eastAsia="黑体"/>
                <w:color w:val="auto"/>
                <w:szCs w:val="21"/>
              </w:rPr>
              <w:t xml:space="preserve">表4-3  </w:t>
            </w:r>
            <w:r>
              <w:rPr>
                <w:rFonts w:eastAsia="黑体"/>
                <w:color w:val="auto"/>
                <w:szCs w:val="21"/>
              </w:rPr>
              <w:t>项目噪声预测点位置</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639"/>
              <w:gridCol w:w="1637"/>
              <w:gridCol w:w="1639"/>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47" w:type="dxa"/>
                  <w:vMerge w:val="restart"/>
                  <w:vAlign w:val="center"/>
                </w:tcPr>
                <w:p>
                  <w:pPr>
                    <w:adjustRightInd w:val="0"/>
                    <w:snapToGrid w:val="0"/>
                    <w:spacing w:line="320" w:lineRule="exact"/>
                    <w:jc w:val="center"/>
                    <w:rPr>
                      <w:color w:val="auto"/>
                      <w:szCs w:val="21"/>
                    </w:rPr>
                  </w:pPr>
                  <w:r>
                    <w:rPr>
                      <w:rFonts w:hint="eastAsia"/>
                      <w:color w:val="auto"/>
                      <w:szCs w:val="21"/>
                    </w:rPr>
                    <w:t>声源位置</w:t>
                  </w:r>
                </w:p>
              </w:tc>
              <w:tc>
                <w:tcPr>
                  <w:tcW w:w="6553" w:type="dxa"/>
                  <w:gridSpan w:val="4"/>
                  <w:vAlign w:val="center"/>
                </w:tcPr>
                <w:p>
                  <w:pPr>
                    <w:adjustRightInd w:val="0"/>
                    <w:snapToGrid w:val="0"/>
                    <w:spacing w:line="320" w:lineRule="exact"/>
                    <w:jc w:val="center"/>
                    <w:rPr>
                      <w:color w:val="auto"/>
                      <w:szCs w:val="21"/>
                    </w:rPr>
                  </w:pPr>
                  <w:r>
                    <w:rPr>
                      <w:rFonts w:hint="eastAsia"/>
                      <w:color w:val="auto"/>
                      <w:szCs w:val="21"/>
                    </w:rPr>
                    <w:t>中心点距各预测点距离(m)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47" w:type="dxa"/>
                  <w:vMerge w:val="continue"/>
                  <w:vAlign w:val="center"/>
                </w:tcPr>
                <w:p>
                  <w:pPr>
                    <w:adjustRightInd w:val="0"/>
                    <w:snapToGrid w:val="0"/>
                    <w:spacing w:line="320" w:lineRule="exact"/>
                    <w:jc w:val="center"/>
                    <w:rPr>
                      <w:color w:val="auto"/>
                      <w:szCs w:val="21"/>
                    </w:rPr>
                  </w:pPr>
                </w:p>
              </w:tc>
              <w:tc>
                <w:tcPr>
                  <w:tcW w:w="1639" w:type="dxa"/>
                  <w:vAlign w:val="center"/>
                </w:tcPr>
                <w:p>
                  <w:pPr>
                    <w:adjustRightInd w:val="0"/>
                    <w:snapToGrid w:val="0"/>
                    <w:spacing w:line="320" w:lineRule="exact"/>
                    <w:jc w:val="center"/>
                    <w:rPr>
                      <w:color w:val="auto"/>
                      <w:szCs w:val="21"/>
                    </w:rPr>
                  </w:pPr>
                  <w:r>
                    <w:rPr>
                      <w:rFonts w:hint="eastAsia"/>
                      <w:color w:val="auto"/>
                      <w:szCs w:val="21"/>
                    </w:rPr>
                    <w:t>东厂界</w:t>
                  </w:r>
                </w:p>
              </w:tc>
              <w:tc>
                <w:tcPr>
                  <w:tcW w:w="1637" w:type="dxa"/>
                  <w:vAlign w:val="center"/>
                </w:tcPr>
                <w:p>
                  <w:pPr>
                    <w:adjustRightInd w:val="0"/>
                    <w:snapToGrid w:val="0"/>
                    <w:spacing w:line="320" w:lineRule="exact"/>
                    <w:jc w:val="center"/>
                    <w:rPr>
                      <w:color w:val="auto"/>
                      <w:szCs w:val="21"/>
                    </w:rPr>
                  </w:pPr>
                  <w:r>
                    <w:rPr>
                      <w:rFonts w:hint="eastAsia"/>
                      <w:color w:val="auto"/>
                      <w:szCs w:val="21"/>
                    </w:rPr>
                    <w:t>南厂界</w:t>
                  </w:r>
                </w:p>
              </w:tc>
              <w:tc>
                <w:tcPr>
                  <w:tcW w:w="1639" w:type="dxa"/>
                  <w:vAlign w:val="center"/>
                </w:tcPr>
                <w:p>
                  <w:pPr>
                    <w:adjustRightInd w:val="0"/>
                    <w:snapToGrid w:val="0"/>
                    <w:spacing w:line="320" w:lineRule="exact"/>
                    <w:jc w:val="center"/>
                    <w:rPr>
                      <w:color w:val="auto"/>
                      <w:szCs w:val="21"/>
                    </w:rPr>
                  </w:pPr>
                  <w:r>
                    <w:rPr>
                      <w:rFonts w:hint="eastAsia"/>
                      <w:color w:val="auto"/>
                      <w:szCs w:val="21"/>
                    </w:rPr>
                    <w:t>西厂界</w:t>
                  </w:r>
                </w:p>
              </w:tc>
              <w:tc>
                <w:tcPr>
                  <w:tcW w:w="1638" w:type="dxa"/>
                  <w:vAlign w:val="center"/>
                </w:tcPr>
                <w:p>
                  <w:pPr>
                    <w:adjustRightInd w:val="0"/>
                    <w:snapToGrid w:val="0"/>
                    <w:spacing w:line="320" w:lineRule="exact"/>
                    <w:jc w:val="center"/>
                    <w:rPr>
                      <w:color w:val="auto"/>
                      <w:szCs w:val="21"/>
                    </w:rPr>
                  </w:pPr>
                  <w:r>
                    <w:rPr>
                      <w:rFonts w:hint="eastAsia"/>
                      <w:color w:val="auto"/>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47" w:type="dxa"/>
                  <w:vAlign w:val="center"/>
                </w:tcPr>
                <w:p>
                  <w:pPr>
                    <w:adjustRightInd w:val="0"/>
                    <w:snapToGrid w:val="0"/>
                    <w:spacing w:line="320" w:lineRule="exact"/>
                    <w:jc w:val="center"/>
                    <w:rPr>
                      <w:color w:val="auto"/>
                      <w:szCs w:val="21"/>
                    </w:rPr>
                  </w:pPr>
                  <w:r>
                    <w:rPr>
                      <w:rFonts w:hint="eastAsia"/>
                      <w:color w:val="auto"/>
                      <w:szCs w:val="21"/>
                    </w:rPr>
                    <w:t>2511站</w:t>
                  </w:r>
                </w:p>
              </w:tc>
              <w:tc>
                <w:tcPr>
                  <w:tcW w:w="1639" w:type="dxa"/>
                  <w:vAlign w:val="center"/>
                </w:tcPr>
                <w:p>
                  <w:pPr>
                    <w:adjustRightInd w:val="0"/>
                    <w:snapToGrid w:val="0"/>
                    <w:spacing w:line="320" w:lineRule="exact"/>
                    <w:jc w:val="center"/>
                    <w:rPr>
                      <w:color w:val="auto"/>
                      <w:szCs w:val="21"/>
                    </w:rPr>
                  </w:pPr>
                  <w:r>
                    <w:rPr>
                      <w:rFonts w:hint="eastAsia"/>
                      <w:color w:val="auto"/>
                      <w:szCs w:val="21"/>
                    </w:rPr>
                    <w:t>27</w:t>
                  </w:r>
                </w:p>
              </w:tc>
              <w:tc>
                <w:tcPr>
                  <w:tcW w:w="1637" w:type="dxa"/>
                  <w:vAlign w:val="center"/>
                </w:tcPr>
                <w:p>
                  <w:pPr>
                    <w:adjustRightInd w:val="0"/>
                    <w:snapToGrid w:val="0"/>
                    <w:spacing w:line="320" w:lineRule="exact"/>
                    <w:jc w:val="center"/>
                    <w:rPr>
                      <w:color w:val="auto"/>
                      <w:szCs w:val="21"/>
                    </w:rPr>
                  </w:pPr>
                  <w:r>
                    <w:rPr>
                      <w:rFonts w:hint="eastAsia"/>
                      <w:color w:val="auto"/>
                      <w:szCs w:val="21"/>
                    </w:rPr>
                    <w:t>20</w:t>
                  </w:r>
                </w:p>
              </w:tc>
              <w:tc>
                <w:tcPr>
                  <w:tcW w:w="1639" w:type="dxa"/>
                  <w:vAlign w:val="center"/>
                </w:tcPr>
                <w:p>
                  <w:pPr>
                    <w:adjustRightInd w:val="0"/>
                    <w:snapToGrid w:val="0"/>
                    <w:spacing w:line="320" w:lineRule="exact"/>
                    <w:jc w:val="center"/>
                    <w:rPr>
                      <w:color w:val="auto"/>
                      <w:szCs w:val="21"/>
                    </w:rPr>
                  </w:pPr>
                  <w:r>
                    <w:rPr>
                      <w:rFonts w:hint="eastAsia"/>
                      <w:color w:val="auto"/>
                      <w:szCs w:val="21"/>
                    </w:rPr>
                    <w:t>32</w:t>
                  </w:r>
                </w:p>
              </w:tc>
              <w:tc>
                <w:tcPr>
                  <w:tcW w:w="1638" w:type="dxa"/>
                  <w:vAlign w:val="center"/>
                </w:tcPr>
                <w:p>
                  <w:pPr>
                    <w:adjustRightInd w:val="0"/>
                    <w:snapToGrid w:val="0"/>
                    <w:spacing w:line="320" w:lineRule="exact"/>
                    <w:jc w:val="center"/>
                    <w:rPr>
                      <w:color w:val="auto"/>
                      <w:szCs w:val="21"/>
                    </w:rPr>
                  </w:pPr>
                  <w:r>
                    <w:rPr>
                      <w:rFonts w:hint="eastAsia"/>
                      <w:color w:val="auto"/>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47" w:type="dxa"/>
                  <w:vAlign w:val="center"/>
                </w:tcPr>
                <w:p>
                  <w:pPr>
                    <w:adjustRightInd w:val="0"/>
                    <w:snapToGrid w:val="0"/>
                    <w:spacing w:line="320" w:lineRule="exact"/>
                    <w:jc w:val="center"/>
                    <w:rPr>
                      <w:color w:val="auto"/>
                      <w:szCs w:val="21"/>
                    </w:rPr>
                  </w:pPr>
                  <w:r>
                    <w:rPr>
                      <w:rFonts w:hint="eastAsia"/>
                      <w:color w:val="auto"/>
                      <w:szCs w:val="21"/>
                    </w:rPr>
                    <w:t>3270站</w:t>
                  </w:r>
                </w:p>
              </w:tc>
              <w:tc>
                <w:tcPr>
                  <w:tcW w:w="1639" w:type="dxa"/>
                  <w:vAlign w:val="center"/>
                </w:tcPr>
                <w:p>
                  <w:pPr>
                    <w:adjustRightInd w:val="0"/>
                    <w:snapToGrid w:val="0"/>
                    <w:spacing w:line="320" w:lineRule="exact"/>
                    <w:jc w:val="center"/>
                    <w:rPr>
                      <w:color w:val="auto"/>
                      <w:szCs w:val="21"/>
                    </w:rPr>
                  </w:pPr>
                  <w:r>
                    <w:rPr>
                      <w:rFonts w:hint="eastAsia"/>
                      <w:color w:val="auto"/>
                      <w:szCs w:val="21"/>
                    </w:rPr>
                    <w:t>30</w:t>
                  </w:r>
                </w:p>
              </w:tc>
              <w:tc>
                <w:tcPr>
                  <w:tcW w:w="1637" w:type="dxa"/>
                  <w:vAlign w:val="center"/>
                </w:tcPr>
                <w:p>
                  <w:pPr>
                    <w:adjustRightInd w:val="0"/>
                    <w:snapToGrid w:val="0"/>
                    <w:spacing w:line="320" w:lineRule="exact"/>
                    <w:jc w:val="center"/>
                    <w:rPr>
                      <w:color w:val="auto"/>
                      <w:szCs w:val="21"/>
                    </w:rPr>
                  </w:pPr>
                  <w:r>
                    <w:rPr>
                      <w:rFonts w:hint="eastAsia"/>
                      <w:color w:val="auto"/>
                      <w:szCs w:val="21"/>
                    </w:rPr>
                    <w:t>26</w:t>
                  </w:r>
                </w:p>
              </w:tc>
              <w:tc>
                <w:tcPr>
                  <w:tcW w:w="1639" w:type="dxa"/>
                  <w:vAlign w:val="center"/>
                </w:tcPr>
                <w:p>
                  <w:pPr>
                    <w:adjustRightInd w:val="0"/>
                    <w:snapToGrid w:val="0"/>
                    <w:spacing w:line="320" w:lineRule="exact"/>
                    <w:jc w:val="center"/>
                    <w:rPr>
                      <w:color w:val="auto"/>
                      <w:szCs w:val="21"/>
                    </w:rPr>
                  </w:pPr>
                  <w:r>
                    <w:rPr>
                      <w:rFonts w:hint="eastAsia"/>
                      <w:color w:val="auto"/>
                      <w:szCs w:val="21"/>
                    </w:rPr>
                    <w:t>28</w:t>
                  </w:r>
                </w:p>
              </w:tc>
              <w:tc>
                <w:tcPr>
                  <w:tcW w:w="1638" w:type="dxa"/>
                  <w:vAlign w:val="center"/>
                </w:tcPr>
                <w:p>
                  <w:pPr>
                    <w:adjustRightInd w:val="0"/>
                    <w:snapToGrid w:val="0"/>
                    <w:spacing w:line="320" w:lineRule="exact"/>
                    <w:jc w:val="center"/>
                    <w:rPr>
                      <w:color w:val="auto"/>
                      <w:szCs w:val="21"/>
                    </w:rPr>
                  </w:pPr>
                  <w:r>
                    <w:rPr>
                      <w:rFonts w:hint="eastAsia"/>
                      <w:color w:val="auto"/>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447" w:type="dxa"/>
                  <w:vAlign w:val="center"/>
                </w:tcPr>
                <w:p>
                  <w:pPr>
                    <w:adjustRightInd w:val="0"/>
                    <w:snapToGrid w:val="0"/>
                    <w:spacing w:line="320" w:lineRule="exact"/>
                    <w:jc w:val="center"/>
                    <w:rPr>
                      <w:color w:val="auto"/>
                      <w:szCs w:val="21"/>
                    </w:rPr>
                  </w:pPr>
                  <w:r>
                    <w:rPr>
                      <w:rFonts w:hint="eastAsia"/>
                      <w:color w:val="auto"/>
                      <w:szCs w:val="21"/>
                    </w:rPr>
                    <w:t>4926-4站</w:t>
                  </w:r>
                </w:p>
              </w:tc>
              <w:tc>
                <w:tcPr>
                  <w:tcW w:w="1639" w:type="dxa"/>
                  <w:vAlign w:val="center"/>
                </w:tcPr>
                <w:p>
                  <w:pPr>
                    <w:adjustRightInd w:val="0"/>
                    <w:snapToGrid w:val="0"/>
                    <w:spacing w:line="320" w:lineRule="exact"/>
                    <w:jc w:val="center"/>
                    <w:rPr>
                      <w:color w:val="auto"/>
                      <w:szCs w:val="21"/>
                    </w:rPr>
                  </w:pPr>
                  <w:r>
                    <w:rPr>
                      <w:rFonts w:hint="eastAsia"/>
                      <w:color w:val="auto"/>
                      <w:szCs w:val="21"/>
                    </w:rPr>
                    <w:t>22</w:t>
                  </w:r>
                </w:p>
              </w:tc>
              <w:tc>
                <w:tcPr>
                  <w:tcW w:w="1637" w:type="dxa"/>
                  <w:vAlign w:val="center"/>
                </w:tcPr>
                <w:p>
                  <w:pPr>
                    <w:adjustRightInd w:val="0"/>
                    <w:snapToGrid w:val="0"/>
                    <w:spacing w:line="320" w:lineRule="exact"/>
                    <w:jc w:val="center"/>
                    <w:rPr>
                      <w:color w:val="auto"/>
                      <w:szCs w:val="21"/>
                    </w:rPr>
                  </w:pPr>
                  <w:r>
                    <w:rPr>
                      <w:rFonts w:hint="eastAsia"/>
                      <w:color w:val="auto"/>
                      <w:szCs w:val="21"/>
                    </w:rPr>
                    <w:t>35</w:t>
                  </w:r>
                </w:p>
              </w:tc>
              <w:tc>
                <w:tcPr>
                  <w:tcW w:w="1639" w:type="dxa"/>
                  <w:vAlign w:val="center"/>
                </w:tcPr>
                <w:p>
                  <w:pPr>
                    <w:adjustRightInd w:val="0"/>
                    <w:snapToGrid w:val="0"/>
                    <w:spacing w:line="320" w:lineRule="exact"/>
                    <w:jc w:val="center"/>
                    <w:rPr>
                      <w:color w:val="auto"/>
                      <w:szCs w:val="21"/>
                    </w:rPr>
                  </w:pPr>
                  <w:r>
                    <w:rPr>
                      <w:rFonts w:hint="eastAsia"/>
                      <w:color w:val="auto"/>
                      <w:szCs w:val="21"/>
                    </w:rPr>
                    <w:t>24</w:t>
                  </w:r>
                </w:p>
              </w:tc>
              <w:tc>
                <w:tcPr>
                  <w:tcW w:w="1638" w:type="dxa"/>
                  <w:vAlign w:val="center"/>
                </w:tcPr>
                <w:p>
                  <w:pPr>
                    <w:adjustRightInd w:val="0"/>
                    <w:snapToGrid w:val="0"/>
                    <w:spacing w:line="320" w:lineRule="exact"/>
                    <w:jc w:val="center"/>
                    <w:rPr>
                      <w:color w:val="auto"/>
                      <w:szCs w:val="21"/>
                    </w:rPr>
                  </w:pPr>
                  <w:r>
                    <w:rPr>
                      <w:rFonts w:hint="eastAsia"/>
                      <w:color w:val="auto"/>
                      <w:szCs w:val="21"/>
                    </w:rPr>
                    <w:t>40</w:t>
                  </w:r>
                </w:p>
              </w:tc>
            </w:tr>
          </w:tbl>
          <w:p>
            <w:pPr>
              <w:spacing w:line="360" w:lineRule="auto"/>
              <w:ind w:firstLine="480" w:firstLineChars="200"/>
              <w:rPr>
                <w:color w:val="auto"/>
                <w:sz w:val="24"/>
              </w:rPr>
            </w:pPr>
            <w:r>
              <w:rPr>
                <w:rFonts w:ascii="宋体" w:hAnsi="宋体" w:cs="宋体"/>
                <w:color w:val="auto"/>
                <w:sz w:val="24"/>
              </w:rPr>
              <w:fldChar w:fldCharType="begin"/>
            </w:r>
            <w:r>
              <w:rPr>
                <w:rFonts w:ascii="宋体" w:hAnsi="宋体" w:cs="宋体"/>
                <w:color w:val="auto"/>
                <w:sz w:val="24"/>
              </w:rPr>
              <w:instrText xml:space="preserve"> </w:instrText>
            </w:r>
            <w:r>
              <w:rPr>
                <w:rFonts w:hint="eastAsia" w:ascii="宋体" w:hAnsi="宋体" w:cs="宋体"/>
                <w:color w:val="auto"/>
                <w:sz w:val="24"/>
              </w:rPr>
              <w:instrText xml:space="preserve">= 2 \* GB3</w:instrText>
            </w:r>
            <w:r>
              <w:rPr>
                <w:rFonts w:ascii="宋体" w:hAnsi="宋体" w:cs="宋体"/>
                <w:color w:val="auto"/>
                <w:sz w:val="24"/>
              </w:rPr>
              <w:instrText xml:space="preserve"> </w:instrText>
            </w:r>
            <w:r>
              <w:rPr>
                <w:rFonts w:ascii="宋体" w:hAnsi="宋体" w:cs="宋体"/>
                <w:color w:val="auto"/>
                <w:sz w:val="24"/>
              </w:rPr>
              <w:fldChar w:fldCharType="separate"/>
            </w:r>
            <w:r>
              <w:rPr>
                <w:rFonts w:hint="eastAsia" w:ascii="宋体" w:hAnsi="宋体" w:cs="宋体"/>
                <w:color w:val="auto"/>
                <w:sz w:val="24"/>
              </w:rPr>
              <w:t>②</w:t>
            </w:r>
            <w:r>
              <w:rPr>
                <w:rFonts w:ascii="宋体" w:hAnsi="宋体" w:cs="宋体"/>
                <w:color w:val="auto"/>
                <w:sz w:val="24"/>
              </w:rPr>
              <w:fldChar w:fldCharType="end"/>
            </w:r>
            <w:r>
              <w:rPr>
                <w:color w:val="auto"/>
                <w:sz w:val="24"/>
              </w:rPr>
              <w:t xml:space="preserve"> 预测模式</w:t>
            </w:r>
          </w:p>
          <w:p>
            <w:pPr>
              <w:widowControl/>
              <w:spacing w:line="360" w:lineRule="auto"/>
              <w:ind w:firstLine="480" w:firstLineChars="200"/>
              <w:textAlignment w:val="baseline"/>
              <w:rPr>
                <w:color w:val="auto"/>
                <w:sz w:val="24"/>
              </w:rPr>
            </w:pPr>
            <w:r>
              <w:rPr>
                <w:color w:val="auto"/>
                <w:sz w:val="24"/>
              </w:rPr>
              <w:t>根据《环境影响评价技术导则 声环境》（HJ2.4-20</w:t>
            </w:r>
            <w:r>
              <w:rPr>
                <w:rFonts w:hint="eastAsia"/>
                <w:color w:val="auto"/>
                <w:sz w:val="24"/>
              </w:rPr>
              <w:t>21</w:t>
            </w:r>
            <w:r>
              <w:rPr>
                <w:color w:val="auto"/>
                <w:sz w:val="24"/>
              </w:rPr>
              <w:t>）的要求，采用如下模式：</w:t>
            </w:r>
          </w:p>
          <w:p>
            <w:pPr>
              <w:widowControl/>
              <w:spacing w:line="360" w:lineRule="auto"/>
              <w:ind w:firstLine="480" w:firstLineChars="200"/>
              <w:textAlignment w:val="baseline"/>
              <w:rPr>
                <w:color w:val="auto"/>
                <w:sz w:val="24"/>
              </w:rPr>
            </w:pPr>
            <w:r>
              <w:rPr>
                <w:color w:val="auto"/>
                <w:sz w:val="24"/>
              </w:rPr>
              <w:t>根据本项目主要噪声源的特征，在不考虑声传播过程中屏障隔声、空气吸收、地面效应的前提下，利用点声源几何发散衰减模式，可采用点声源距离衰减公式对主要声源产生声环境质量影响进行预测，具体公式如下：</w:t>
            </w:r>
          </w:p>
          <w:p>
            <w:pPr>
              <w:widowControl/>
              <w:spacing w:line="360" w:lineRule="auto"/>
              <w:jc w:val="center"/>
              <w:textAlignment w:val="baseline"/>
              <w:rPr>
                <w:color w:val="auto"/>
                <w:sz w:val="24"/>
                <w:lang w:val="pt-BR"/>
              </w:rPr>
            </w:pPr>
            <w:r>
              <w:rPr>
                <w:rFonts w:hint="eastAsia"/>
                <w:color w:val="auto"/>
                <w:position w:val="-10"/>
                <w:sz w:val="24"/>
              </w:rPr>
              <w:object>
                <v:shape id="_x0000_i1028" o:spt="75" type="#_x0000_t75" style="height:20.25pt;width:32.2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color w:val="auto"/>
                <w:sz w:val="24"/>
              </w:rPr>
              <w:t>=</w:t>
            </w:r>
            <w:r>
              <w:rPr>
                <w:rFonts w:hint="eastAsia"/>
                <w:color w:val="auto"/>
                <w:position w:val="-30"/>
                <w:sz w:val="24"/>
              </w:rPr>
              <w:object>
                <v:shape id="_x0000_i1029" o:spt="75" type="#_x0000_t75" style="height:41.25pt;width:123.7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p>
          <w:p>
            <w:pPr>
              <w:widowControl/>
              <w:spacing w:line="360" w:lineRule="auto"/>
              <w:ind w:firstLine="480" w:firstLineChars="200"/>
              <w:textAlignment w:val="baseline"/>
              <w:rPr>
                <w:color w:val="auto"/>
                <w:sz w:val="24"/>
              </w:rPr>
            </w:pPr>
            <w:r>
              <w:rPr>
                <w:color w:val="auto"/>
                <w:sz w:val="24"/>
              </w:rPr>
              <w:t>式中：LA(r)—距声源处测点的声压级，dB(A)；</w:t>
            </w:r>
          </w:p>
          <w:p>
            <w:pPr>
              <w:widowControl/>
              <w:spacing w:line="360" w:lineRule="auto"/>
              <w:ind w:firstLine="480" w:firstLineChars="200"/>
              <w:textAlignment w:val="baseline"/>
              <w:rPr>
                <w:color w:val="auto"/>
                <w:sz w:val="24"/>
              </w:rPr>
            </w:pPr>
            <w:r>
              <w:rPr>
                <w:color w:val="auto"/>
                <w:sz w:val="24"/>
              </w:rPr>
              <w:object>
                <v:shape id="_x0000_i1030" o:spt="75" type="#_x0000_t75" style="height:18pt;width:33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color w:val="auto"/>
                <w:sz w:val="24"/>
              </w:rPr>
              <w:t>—声源声压级，dB(A)；</w:t>
            </w:r>
          </w:p>
          <w:p>
            <w:pPr>
              <w:widowControl/>
              <w:spacing w:line="360" w:lineRule="auto"/>
              <w:ind w:firstLine="480" w:firstLineChars="200"/>
              <w:textAlignment w:val="baseline"/>
              <w:rPr>
                <w:color w:val="auto"/>
                <w:sz w:val="24"/>
              </w:rPr>
            </w:pPr>
            <w:r>
              <w:rPr>
                <w:color w:val="auto"/>
                <w:sz w:val="24"/>
              </w:rPr>
              <w:t>r—声源至预测点的距离m；</w:t>
            </w:r>
          </w:p>
          <w:p>
            <w:pPr>
              <w:widowControl/>
              <w:spacing w:line="360" w:lineRule="auto"/>
              <w:ind w:firstLine="480" w:firstLineChars="200"/>
              <w:textAlignment w:val="baseline"/>
              <w:rPr>
                <w:color w:val="auto"/>
                <w:sz w:val="24"/>
              </w:rPr>
            </w:pPr>
            <w:r>
              <w:rPr>
                <w:color w:val="auto"/>
                <w:sz w:val="24"/>
              </w:rPr>
              <w:t>ro—距设备参考处距离m；</w:t>
            </w:r>
          </w:p>
          <w:p>
            <w:pPr>
              <w:widowControl/>
              <w:spacing w:line="360" w:lineRule="auto"/>
              <w:ind w:firstLine="480" w:firstLineChars="200"/>
              <w:textAlignment w:val="baseline"/>
              <w:rPr>
                <w:color w:val="auto"/>
                <w:sz w:val="24"/>
              </w:rPr>
            </w:pPr>
            <w:r>
              <w:rPr>
                <w:color w:val="auto"/>
                <w:sz w:val="24"/>
              </w:rPr>
              <w:t>△L—各种因素引起的声衰减量（如声屏障、遮挡物、空气吸收、地面吸收等引起的声衰减）。</w:t>
            </w:r>
          </w:p>
          <w:p>
            <w:pPr>
              <w:widowControl/>
              <w:spacing w:line="360" w:lineRule="auto"/>
              <w:ind w:firstLine="480" w:firstLineChars="200"/>
              <w:textAlignment w:val="baseline"/>
              <w:rPr>
                <w:color w:val="auto"/>
                <w:sz w:val="24"/>
              </w:rPr>
            </w:pPr>
            <w:r>
              <w:rPr>
                <w:rFonts w:hint="eastAsia"/>
                <w:color w:val="auto"/>
                <w:sz w:val="24"/>
              </w:rPr>
              <w:fldChar w:fldCharType="begin"/>
            </w:r>
            <w:r>
              <w:rPr>
                <w:rFonts w:hint="eastAsia"/>
                <w:color w:val="auto"/>
                <w:sz w:val="24"/>
              </w:rPr>
              <w:instrText xml:space="preserve"> = 3 \* GB3 </w:instrText>
            </w:r>
            <w:r>
              <w:rPr>
                <w:rFonts w:hint="eastAsia"/>
                <w:color w:val="auto"/>
                <w:sz w:val="24"/>
              </w:rPr>
              <w:fldChar w:fldCharType="separate"/>
            </w:r>
            <w:r>
              <w:rPr>
                <w:rFonts w:hint="eastAsia"/>
                <w:color w:val="auto"/>
                <w:sz w:val="24"/>
              </w:rPr>
              <w:t>③</w:t>
            </w:r>
            <w:r>
              <w:rPr>
                <w:rFonts w:hint="eastAsia"/>
                <w:color w:val="auto"/>
                <w:sz w:val="24"/>
              </w:rPr>
              <w:fldChar w:fldCharType="end"/>
            </w:r>
            <w:r>
              <w:rPr>
                <w:rFonts w:hint="eastAsia"/>
                <w:color w:val="auto"/>
                <w:sz w:val="24"/>
              </w:rPr>
              <w:t xml:space="preserve"> 预测结果及评价</w:t>
            </w:r>
          </w:p>
          <w:p>
            <w:pPr>
              <w:widowControl/>
              <w:spacing w:line="360" w:lineRule="auto"/>
              <w:ind w:firstLine="480" w:firstLineChars="200"/>
              <w:textAlignment w:val="baseline"/>
              <w:rPr>
                <w:snapToGrid w:val="0"/>
                <w:color w:val="auto"/>
                <w:sz w:val="24"/>
              </w:rPr>
            </w:pPr>
            <w:r>
              <w:rPr>
                <w:rFonts w:hint="eastAsia"/>
                <w:color w:val="auto"/>
                <w:sz w:val="24"/>
              </w:rPr>
              <w:t>项目厂界噪声预测值为</w:t>
            </w:r>
            <w:r>
              <w:rPr>
                <w:color w:val="auto"/>
                <w:sz w:val="24"/>
              </w:rPr>
              <w:t>噪声贡献值</w:t>
            </w:r>
            <w:r>
              <w:rPr>
                <w:rFonts w:hint="eastAsia"/>
                <w:snapToGrid w:val="0"/>
                <w:color w:val="auto"/>
                <w:sz w:val="24"/>
              </w:rPr>
              <w:t>。</w:t>
            </w:r>
            <w:r>
              <w:rPr>
                <w:snapToGrid w:val="0"/>
                <w:color w:val="auto"/>
                <w:sz w:val="24"/>
              </w:rPr>
              <w:t>根据项目的设备声级、所在位置，利用噪声预测模式和方法，</w:t>
            </w:r>
            <w:r>
              <w:rPr>
                <w:color w:val="auto"/>
                <w:sz w:val="24"/>
              </w:rPr>
              <w:t>对</w:t>
            </w:r>
            <w:r>
              <w:rPr>
                <w:rFonts w:hint="eastAsia"/>
                <w:color w:val="auto"/>
                <w:sz w:val="24"/>
              </w:rPr>
              <w:t>项目</w:t>
            </w:r>
            <w:r>
              <w:rPr>
                <w:color w:val="auto"/>
                <w:sz w:val="24"/>
              </w:rPr>
              <w:t>噪声进行预测，</w:t>
            </w:r>
            <w:r>
              <w:rPr>
                <w:snapToGrid w:val="0"/>
                <w:color w:val="auto"/>
                <w:sz w:val="24"/>
              </w:rPr>
              <w:t>噪声影响预测结果见表</w:t>
            </w:r>
            <w:r>
              <w:rPr>
                <w:rFonts w:hint="eastAsia"/>
                <w:snapToGrid w:val="0"/>
                <w:color w:val="auto"/>
                <w:sz w:val="24"/>
              </w:rPr>
              <w:t>38</w:t>
            </w:r>
            <w:r>
              <w:rPr>
                <w:snapToGrid w:val="0"/>
                <w:color w:val="auto"/>
                <w:sz w:val="24"/>
              </w:rPr>
              <w:t>。</w:t>
            </w:r>
          </w:p>
          <w:p>
            <w:pPr>
              <w:spacing w:line="360" w:lineRule="auto"/>
              <w:jc w:val="center"/>
              <w:rPr>
                <w:rFonts w:eastAsia="黑体"/>
                <w:color w:val="auto"/>
              </w:rPr>
            </w:pPr>
            <w:r>
              <w:rPr>
                <w:rFonts w:eastAsia="黑体"/>
                <w:color w:val="auto"/>
              </w:rPr>
              <w:t>表</w:t>
            </w:r>
            <w:r>
              <w:rPr>
                <w:rFonts w:hint="eastAsia" w:eastAsia="黑体"/>
                <w:color w:val="auto"/>
              </w:rPr>
              <w:t>4-4</w:t>
            </w:r>
            <w:r>
              <w:rPr>
                <w:rFonts w:eastAsia="黑体"/>
                <w:color w:val="auto"/>
              </w:rPr>
              <w:t xml:space="preserve"> </w:t>
            </w:r>
            <w:r>
              <w:rPr>
                <w:rFonts w:hint="eastAsia" w:eastAsia="黑体"/>
                <w:color w:val="auto"/>
              </w:rPr>
              <w:t xml:space="preserve"> 项目</w:t>
            </w:r>
            <w:r>
              <w:rPr>
                <w:rFonts w:eastAsia="黑体"/>
                <w:color w:val="auto"/>
              </w:rPr>
              <w:t>噪声影响预测结果表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1"/>
              <w:gridCol w:w="1803"/>
              <w:gridCol w:w="1180"/>
              <w:gridCol w:w="1015"/>
              <w:gridCol w:w="1011"/>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7920" w:type="dxa"/>
                  <w:gridSpan w:val="6"/>
                  <w:vAlign w:val="center"/>
                </w:tcPr>
                <w:p>
                  <w:pPr>
                    <w:jc w:val="center"/>
                    <w:rPr>
                      <w:snapToGrid w:val="0"/>
                      <w:color w:val="auto"/>
                    </w:rPr>
                  </w:pPr>
                  <w:r>
                    <w:rPr>
                      <w:rFonts w:hint="eastAsia"/>
                      <w:snapToGrid w:val="0"/>
                      <w:color w:val="auto"/>
                    </w:rPr>
                    <w:t>2511站场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861" w:type="dxa"/>
                  <w:vMerge w:val="restart"/>
                  <w:vAlign w:val="center"/>
                </w:tcPr>
                <w:p>
                  <w:pPr>
                    <w:jc w:val="center"/>
                    <w:rPr>
                      <w:snapToGrid w:val="0"/>
                      <w:color w:val="auto"/>
                    </w:rPr>
                  </w:pPr>
                  <w:r>
                    <w:rPr>
                      <w:rFonts w:hint="eastAsia"/>
                      <w:snapToGrid w:val="0"/>
                      <w:color w:val="auto"/>
                    </w:rPr>
                    <w:t>厂界</w:t>
                  </w:r>
                </w:p>
              </w:tc>
              <w:tc>
                <w:tcPr>
                  <w:tcW w:w="1803" w:type="dxa"/>
                  <w:vMerge w:val="restart"/>
                  <w:vAlign w:val="center"/>
                </w:tcPr>
                <w:p>
                  <w:pPr>
                    <w:jc w:val="center"/>
                    <w:rPr>
                      <w:snapToGrid w:val="0"/>
                      <w:color w:val="auto"/>
                    </w:rPr>
                  </w:pPr>
                  <w:r>
                    <w:rPr>
                      <w:rFonts w:hint="eastAsia"/>
                      <w:snapToGrid w:val="0"/>
                      <w:color w:val="auto"/>
                    </w:rPr>
                    <w:t>贡献值</w:t>
                  </w:r>
                </w:p>
              </w:tc>
              <w:tc>
                <w:tcPr>
                  <w:tcW w:w="2195" w:type="dxa"/>
                  <w:gridSpan w:val="2"/>
                  <w:vAlign w:val="center"/>
                </w:tcPr>
                <w:p>
                  <w:pPr>
                    <w:jc w:val="center"/>
                    <w:rPr>
                      <w:snapToGrid w:val="0"/>
                      <w:color w:val="auto"/>
                    </w:rPr>
                  </w:pPr>
                  <w:r>
                    <w:rPr>
                      <w:rFonts w:hint="eastAsia"/>
                      <w:snapToGrid w:val="0"/>
                      <w:color w:val="auto"/>
                    </w:rPr>
                    <w:t>标准值</w:t>
                  </w:r>
                </w:p>
              </w:tc>
              <w:tc>
                <w:tcPr>
                  <w:tcW w:w="2061" w:type="dxa"/>
                  <w:gridSpan w:val="2"/>
                  <w:vAlign w:val="center"/>
                </w:tcPr>
                <w:p>
                  <w:pPr>
                    <w:jc w:val="center"/>
                    <w:rPr>
                      <w:snapToGrid w:val="0"/>
                      <w:color w:val="auto"/>
                    </w:rPr>
                  </w:pPr>
                  <w:r>
                    <w:rPr>
                      <w:rFonts w:hint="eastAsia"/>
                      <w:snapToGrid w:val="0"/>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861" w:type="dxa"/>
                  <w:vMerge w:val="continue"/>
                  <w:vAlign w:val="center"/>
                </w:tcPr>
                <w:p>
                  <w:pPr>
                    <w:jc w:val="center"/>
                    <w:rPr>
                      <w:snapToGrid w:val="0"/>
                      <w:color w:val="auto"/>
                    </w:rPr>
                  </w:pPr>
                </w:p>
              </w:tc>
              <w:tc>
                <w:tcPr>
                  <w:tcW w:w="1803" w:type="dxa"/>
                  <w:vMerge w:val="continue"/>
                  <w:vAlign w:val="center"/>
                </w:tcPr>
                <w:p>
                  <w:pPr>
                    <w:jc w:val="center"/>
                    <w:rPr>
                      <w:snapToGrid w:val="0"/>
                      <w:color w:val="auto"/>
                    </w:rPr>
                  </w:pPr>
                </w:p>
              </w:tc>
              <w:tc>
                <w:tcPr>
                  <w:tcW w:w="1180" w:type="dxa"/>
                  <w:vAlign w:val="center"/>
                </w:tcPr>
                <w:p>
                  <w:pPr>
                    <w:jc w:val="center"/>
                    <w:rPr>
                      <w:snapToGrid w:val="0"/>
                      <w:color w:val="auto"/>
                    </w:rPr>
                  </w:pPr>
                  <w:r>
                    <w:rPr>
                      <w:rFonts w:hint="eastAsia"/>
                      <w:snapToGrid w:val="0"/>
                      <w:color w:val="auto"/>
                    </w:rPr>
                    <w:t>昼间</w:t>
                  </w:r>
                </w:p>
              </w:tc>
              <w:tc>
                <w:tcPr>
                  <w:tcW w:w="1015" w:type="dxa"/>
                  <w:vAlign w:val="center"/>
                </w:tcPr>
                <w:p>
                  <w:pPr>
                    <w:jc w:val="center"/>
                    <w:rPr>
                      <w:snapToGrid w:val="0"/>
                      <w:color w:val="auto"/>
                    </w:rPr>
                  </w:pPr>
                  <w:r>
                    <w:rPr>
                      <w:rFonts w:hint="eastAsia"/>
                      <w:snapToGrid w:val="0"/>
                      <w:color w:val="auto"/>
                    </w:rPr>
                    <w:t>夜间</w:t>
                  </w:r>
                </w:p>
              </w:tc>
              <w:tc>
                <w:tcPr>
                  <w:tcW w:w="1011" w:type="dxa"/>
                  <w:vAlign w:val="center"/>
                </w:tcPr>
                <w:p>
                  <w:pPr>
                    <w:jc w:val="center"/>
                    <w:rPr>
                      <w:snapToGrid w:val="0"/>
                      <w:color w:val="auto"/>
                    </w:rPr>
                  </w:pPr>
                  <w:r>
                    <w:rPr>
                      <w:rFonts w:hint="eastAsia"/>
                      <w:snapToGrid w:val="0"/>
                      <w:color w:val="auto"/>
                    </w:rPr>
                    <w:t>昼间</w:t>
                  </w:r>
                </w:p>
              </w:tc>
              <w:tc>
                <w:tcPr>
                  <w:tcW w:w="1050" w:type="dxa"/>
                  <w:vAlign w:val="center"/>
                </w:tcPr>
                <w:p>
                  <w:pPr>
                    <w:jc w:val="center"/>
                    <w:rPr>
                      <w:snapToGrid w:val="0"/>
                      <w:color w:val="auto"/>
                    </w:rPr>
                  </w:pPr>
                  <w:r>
                    <w:rPr>
                      <w:rFonts w:hint="eastAsia"/>
                      <w:snapToGrid w:val="0"/>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861" w:type="dxa"/>
                  <w:vAlign w:val="center"/>
                </w:tcPr>
                <w:p>
                  <w:pPr>
                    <w:jc w:val="center"/>
                    <w:rPr>
                      <w:snapToGrid w:val="0"/>
                      <w:color w:val="auto"/>
                    </w:rPr>
                  </w:pPr>
                  <w:r>
                    <w:rPr>
                      <w:rFonts w:hint="eastAsia"/>
                      <w:snapToGrid w:val="0"/>
                      <w:color w:val="auto"/>
                    </w:rPr>
                    <w:t>东厂界</w:t>
                  </w:r>
                </w:p>
              </w:tc>
              <w:tc>
                <w:tcPr>
                  <w:tcW w:w="1803" w:type="dxa"/>
                  <w:vAlign w:val="center"/>
                </w:tcPr>
                <w:p>
                  <w:pPr>
                    <w:jc w:val="center"/>
                    <w:rPr>
                      <w:snapToGrid w:val="0"/>
                      <w:color w:val="auto"/>
                    </w:rPr>
                  </w:pPr>
                  <w:r>
                    <w:rPr>
                      <w:rFonts w:hint="eastAsia"/>
                      <w:snapToGrid w:val="0"/>
                      <w:color w:val="auto"/>
                    </w:rPr>
                    <w:t>46.3</w:t>
                  </w:r>
                </w:p>
              </w:tc>
              <w:tc>
                <w:tcPr>
                  <w:tcW w:w="1180" w:type="dxa"/>
                  <w:vMerge w:val="restart"/>
                  <w:vAlign w:val="center"/>
                </w:tcPr>
                <w:p>
                  <w:pPr>
                    <w:jc w:val="center"/>
                    <w:rPr>
                      <w:snapToGrid w:val="0"/>
                      <w:color w:val="auto"/>
                    </w:rPr>
                  </w:pPr>
                  <w:r>
                    <w:rPr>
                      <w:rFonts w:hint="eastAsia"/>
                      <w:snapToGrid w:val="0"/>
                      <w:color w:val="auto"/>
                    </w:rPr>
                    <w:t>60</w:t>
                  </w:r>
                </w:p>
              </w:tc>
              <w:tc>
                <w:tcPr>
                  <w:tcW w:w="1015" w:type="dxa"/>
                  <w:vMerge w:val="restart"/>
                  <w:vAlign w:val="center"/>
                </w:tcPr>
                <w:p>
                  <w:pPr>
                    <w:jc w:val="center"/>
                    <w:rPr>
                      <w:snapToGrid w:val="0"/>
                      <w:color w:val="auto"/>
                    </w:rPr>
                  </w:pPr>
                  <w:r>
                    <w:rPr>
                      <w:rFonts w:hint="eastAsia"/>
                      <w:snapToGrid w:val="0"/>
                      <w:color w:val="auto"/>
                    </w:rPr>
                    <w:t>50</w:t>
                  </w:r>
                </w:p>
              </w:tc>
              <w:tc>
                <w:tcPr>
                  <w:tcW w:w="1011" w:type="dxa"/>
                  <w:vAlign w:val="center"/>
                </w:tcPr>
                <w:p>
                  <w:pPr>
                    <w:jc w:val="center"/>
                    <w:rPr>
                      <w:snapToGrid w:val="0"/>
                      <w:color w:val="auto"/>
                    </w:rPr>
                  </w:pPr>
                  <w:r>
                    <w:rPr>
                      <w:rFonts w:hint="eastAsia"/>
                      <w:snapToGrid w:val="0"/>
                      <w:color w:val="auto"/>
                    </w:rPr>
                    <w:t>达标</w:t>
                  </w:r>
                </w:p>
              </w:tc>
              <w:tc>
                <w:tcPr>
                  <w:tcW w:w="1050" w:type="dxa"/>
                  <w:vAlign w:val="center"/>
                </w:tcPr>
                <w:p>
                  <w:pPr>
                    <w:jc w:val="center"/>
                    <w:rPr>
                      <w:snapToGrid w:val="0"/>
                      <w:color w:val="auto"/>
                    </w:rPr>
                  </w:pPr>
                  <w:r>
                    <w:rPr>
                      <w:rFonts w:hint="eastAsia"/>
                      <w:snapToGrid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861" w:type="dxa"/>
                  <w:vAlign w:val="center"/>
                </w:tcPr>
                <w:p>
                  <w:pPr>
                    <w:jc w:val="center"/>
                    <w:rPr>
                      <w:snapToGrid w:val="0"/>
                      <w:color w:val="auto"/>
                    </w:rPr>
                  </w:pPr>
                  <w:r>
                    <w:rPr>
                      <w:rFonts w:hint="eastAsia"/>
                      <w:snapToGrid w:val="0"/>
                      <w:color w:val="auto"/>
                    </w:rPr>
                    <w:t>南厂界</w:t>
                  </w:r>
                </w:p>
              </w:tc>
              <w:tc>
                <w:tcPr>
                  <w:tcW w:w="1803" w:type="dxa"/>
                  <w:vAlign w:val="center"/>
                </w:tcPr>
                <w:p>
                  <w:pPr>
                    <w:jc w:val="center"/>
                    <w:rPr>
                      <w:snapToGrid w:val="0"/>
                      <w:color w:val="auto"/>
                    </w:rPr>
                  </w:pPr>
                  <w:r>
                    <w:rPr>
                      <w:rFonts w:hint="eastAsia"/>
                      <w:snapToGrid w:val="0"/>
                      <w:color w:val="auto"/>
                    </w:rPr>
                    <w:t>48.9</w:t>
                  </w:r>
                </w:p>
              </w:tc>
              <w:tc>
                <w:tcPr>
                  <w:tcW w:w="1180" w:type="dxa"/>
                  <w:vMerge w:val="continue"/>
                  <w:vAlign w:val="center"/>
                </w:tcPr>
                <w:p>
                  <w:pPr>
                    <w:jc w:val="center"/>
                    <w:rPr>
                      <w:snapToGrid w:val="0"/>
                      <w:color w:val="auto"/>
                    </w:rPr>
                  </w:pPr>
                </w:p>
              </w:tc>
              <w:tc>
                <w:tcPr>
                  <w:tcW w:w="1015" w:type="dxa"/>
                  <w:vMerge w:val="continue"/>
                  <w:vAlign w:val="center"/>
                </w:tcPr>
                <w:p>
                  <w:pPr>
                    <w:jc w:val="center"/>
                    <w:rPr>
                      <w:snapToGrid w:val="0"/>
                      <w:color w:val="auto"/>
                    </w:rPr>
                  </w:pPr>
                </w:p>
              </w:tc>
              <w:tc>
                <w:tcPr>
                  <w:tcW w:w="1011" w:type="dxa"/>
                  <w:vAlign w:val="center"/>
                </w:tcPr>
                <w:p>
                  <w:pPr>
                    <w:jc w:val="center"/>
                    <w:rPr>
                      <w:snapToGrid w:val="0"/>
                      <w:color w:val="auto"/>
                    </w:rPr>
                  </w:pPr>
                  <w:r>
                    <w:rPr>
                      <w:rFonts w:hint="eastAsia"/>
                      <w:snapToGrid w:val="0"/>
                      <w:color w:val="auto"/>
                    </w:rPr>
                    <w:t>达标</w:t>
                  </w:r>
                </w:p>
              </w:tc>
              <w:tc>
                <w:tcPr>
                  <w:tcW w:w="1050" w:type="dxa"/>
                  <w:vAlign w:val="center"/>
                </w:tcPr>
                <w:p>
                  <w:pPr>
                    <w:jc w:val="center"/>
                    <w:rPr>
                      <w:snapToGrid w:val="0"/>
                      <w:color w:val="auto"/>
                    </w:rPr>
                  </w:pPr>
                  <w:r>
                    <w:rPr>
                      <w:rFonts w:hint="eastAsia"/>
                      <w:snapToGrid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861" w:type="dxa"/>
                  <w:vAlign w:val="center"/>
                </w:tcPr>
                <w:p>
                  <w:pPr>
                    <w:jc w:val="center"/>
                    <w:rPr>
                      <w:snapToGrid w:val="0"/>
                      <w:color w:val="auto"/>
                    </w:rPr>
                  </w:pPr>
                  <w:r>
                    <w:rPr>
                      <w:rFonts w:hint="eastAsia"/>
                      <w:snapToGrid w:val="0"/>
                      <w:color w:val="auto"/>
                    </w:rPr>
                    <w:t>西厂界</w:t>
                  </w:r>
                </w:p>
              </w:tc>
              <w:tc>
                <w:tcPr>
                  <w:tcW w:w="1803" w:type="dxa"/>
                  <w:vAlign w:val="center"/>
                </w:tcPr>
                <w:p>
                  <w:pPr>
                    <w:jc w:val="center"/>
                    <w:rPr>
                      <w:snapToGrid w:val="0"/>
                      <w:color w:val="auto"/>
                    </w:rPr>
                  </w:pPr>
                  <w:r>
                    <w:rPr>
                      <w:rFonts w:hint="eastAsia"/>
                      <w:snapToGrid w:val="0"/>
                      <w:color w:val="auto"/>
                    </w:rPr>
                    <w:t>44.9</w:t>
                  </w:r>
                </w:p>
              </w:tc>
              <w:tc>
                <w:tcPr>
                  <w:tcW w:w="1180" w:type="dxa"/>
                  <w:vMerge w:val="continue"/>
                  <w:vAlign w:val="center"/>
                </w:tcPr>
                <w:p>
                  <w:pPr>
                    <w:jc w:val="center"/>
                    <w:rPr>
                      <w:snapToGrid w:val="0"/>
                      <w:color w:val="auto"/>
                    </w:rPr>
                  </w:pPr>
                </w:p>
              </w:tc>
              <w:tc>
                <w:tcPr>
                  <w:tcW w:w="1015" w:type="dxa"/>
                  <w:vMerge w:val="continue"/>
                  <w:vAlign w:val="center"/>
                </w:tcPr>
                <w:p>
                  <w:pPr>
                    <w:jc w:val="center"/>
                    <w:rPr>
                      <w:snapToGrid w:val="0"/>
                      <w:color w:val="auto"/>
                    </w:rPr>
                  </w:pPr>
                </w:p>
              </w:tc>
              <w:tc>
                <w:tcPr>
                  <w:tcW w:w="1011" w:type="dxa"/>
                  <w:vAlign w:val="center"/>
                </w:tcPr>
                <w:p>
                  <w:pPr>
                    <w:jc w:val="center"/>
                    <w:rPr>
                      <w:snapToGrid w:val="0"/>
                      <w:color w:val="auto"/>
                    </w:rPr>
                  </w:pPr>
                  <w:r>
                    <w:rPr>
                      <w:rFonts w:hint="eastAsia"/>
                      <w:snapToGrid w:val="0"/>
                      <w:color w:val="auto"/>
                    </w:rPr>
                    <w:t>达标</w:t>
                  </w:r>
                </w:p>
              </w:tc>
              <w:tc>
                <w:tcPr>
                  <w:tcW w:w="1050" w:type="dxa"/>
                  <w:vAlign w:val="center"/>
                </w:tcPr>
                <w:p>
                  <w:pPr>
                    <w:jc w:val="center"/>
                    <w:rPr>
                      <w:snapToGrid w:val="0"/>
                      <w:color w:val="auto"/>
                    </w:rPr>
                  </w:pPr>
                  <w:r>
                    <w:rPr>
                      <w:rFonts w:hint="eastAsia"/>
                      <w:snapToGrid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861" w:type="dxa"/>
                  <w:vAlign w:val="center"/>
                </w:tcPr>
                <w:p>
                  <w:pPr>
                    <w:jc w:val="center"/>
                    <w:rPr>
                      <w:snapToGrid w:val="0"/>
                      <w:color w:val="auto"/>
                    </w:rPr>
                  </w:pPr>
                  <w:r>
                    <w:rPr>
                      <w:rFonts w:hint="eastAsia"/>
                      <w:snapToGrid w:val="0"/>
                      <w:color w:val="auto"/>
                    </w:rPr>
                    <w:t>北厂界</w:t>
                  </w:r>
                </w:p>
              </w:tc>
              <w:tc>
                <w:tcPr>
                  <w:tcW w:w="1803" w:type="dxa"/>
                  <w:vAlign w:val="center"/>
                </w:tcPr>
                <w:p>
                  <w:pPr>
                    <w:jc w:val="center"/>
                    <w:rPr>
                      <w:snapToGrid w:val="0"/>
                      <w:color w:val="auto"/>
                    </w:rPr>
                  </w:pPr>
                  <w:r>
                    <w:rPr>
                      <w:rFonts w:hint="eastAsia"/>
                      <w:snapToGrid w:val="0"/>
                      <w:color w:val="auto"/>
                    </w:rPr>
                    <w:t>48.5</w:t>
                  </w:r>
                </w:p>
              </w:tc>
              <w:tc>
                <w:tcPr>
                  <w:tcW w:w="1180" w:type="dxa"/>
                  <w:vMerge w:val="continue"/>
                  <w:vAlign w:val="center"/>
                </w:tcPr>
                <w:p>
                  <w:pPr>
                    <w:jc w:val="center"/>
                    <w:rPr>
                      <w:snapToGrid w:val="0"/>
                      <w:color w:val="auto"/>
                    </w:rPr>
                  </w:pPr>
                </w:p>
              </w:tc>
              <w:tc>
                <w:tcPr>
                  <w:tcW w:w="1015" w:type="dxa"/>
                  <w:vMerge w:val="continue"/>
                  <w:vAlign w:val="center"/>
                </w:tcPr>
                <w:p>
                  <w:pPr>
                    <w:jc w:val="center"/>
                    <w:rPr>
                      <w:snapToGrid w:val="0"/>
                      <w:color w:val="auto"/>
                    </w:rPr>
                  </w:pPr>
                </w:p>
              </w:tc>
              <w:tc>
                <w:tcPr>
                  <w:tcW w:w="1011" w:type="dxa"/>
                  <w:vAlign w:val="center"/>
                </w:tcPr>
                <w:p>
                  <w:pPr>
                    <w:jc w:val="center"/>
                    <w:rPr>
                      <w:snapToGrid w:val="0"/>
                      <w:color w:val="auto"/>
                    </w:rPr>
                  </w:pPr>
                  <w:r>
                    <w:rPr>
                      <w:rFonts w:hint="eastAsia"/>
                      <w:snapToGrid w:val="0"/>
                      <w:color w:val="auto"/>
                    </w:rPr>
                    <w:t>达标</w:t>
                  </w:r>
                </w:p>
              </w:tc>
              <w:tc>
                <w:tcPr>
                  <w:tcW w:w="1050" w:type="dxa"/>
                  <w:vAlign w:val="center"/>
                </w:tcPr>
                <w:p>
                  <w:pPr>
                    <w:jc w:val="center"/>
                    <w:rPr>
                      <w:snapToGrid w:val="0"/>
                      <w:color w:val="auto"/>
                    </w:rPr>
                  </w:pPr>
                  <w:r>
                    <w:rPr>
                      <w:rFonts w:hint="eastAsia"/>
                      <w:snapToGrid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7920" w:type="dxa"/>
                  <w:gridSpan w:val="6"/>
                  <w:vAlign w:val="center"/>
                </w:tcPr>
                <w:p>
                  <w:pPr>
                    <w:jc w:val="center"/>
                    <w:rPr>
                      <w:snapToGrid w:val="0"/>
                      <w:color w:val="auto"/>
                    </w:rPr>
                  </w:pPr>
                  <w:r>
                    <w:rPr>
                      <w:rFonts w:hint="eastAsia"/>
                      <w:snapToGrid w:val="0"/>
                      <w:color w:val="auto"/>
                    </w:rPr>
                    <w:t>3270站场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861" w:type="dxa"/>
                  <w:vAlign w:val="center"/>
                </w:tcPr>
                <w:p>
                  <w:pPr>
                    <w:jc w:val="center"/>
                    <w:rPr>
                      <w:snapToGrid w:val="0"/>
                      <w:color w:val="auto"/>
                    </w:rPr>
                  </w:pPr>
                  <w:r>
                    <w:rPr>
                      <w:rFonts w:hint="eastAsia"/>
                      <w:snapToGrid w:val="0"/>
                      <w:color w:val="auto"/>
                    </w:rPr>
                    <w:t>东厂界</w:t>
                  </w:r>
                </w:p>
              </w:tc>
              <w:tc>
                <w:tcPr>
                  <w:tcW w:w="1803" w:type="dxa"/>
                  <w:vAlign w:val="center"/>
                </w:tcPr>
                <w:p>
                  <w:pPr>
                    <w:jc w:val="center"/>
                    <w:rPr>
                      <w:snapToGrid w:val="0"/>
                      <w:color w:val="auto"/>
                    </w:rPr>
                  </w:pPr>
                  <w:r>
                    <w:rPr>
                      <w:rFonts w:hint="eastAsia"/>
                      <w:snapToGrid w:val="0"/>
                      <w:color w:val="auto"/>
                    </w:rPr>
                    <w:t>45.4</w:t>
                  </w:r>
                </w:p>
              </w:tc>
              <w:tc>
                <w:tcPr>
                  <w:tcW w:w="1180" w:type="dxa"/>
                  <w:vMerge w:val="restart"/>
                  <w:vAlign w:val="center"/>
                </w:tcPr>
                <w:p>
                  <w:pPr>
                    <w:jc w:val="center"/>
                    <w:rPr>
                      <w:snapToGrid w:val="0"/>
                      <w:color w:val="auto"/>
                    </w:rPr>
                  </w:pPr>
                  <w:r>
                    <w:rPr>
                      <w:rFonts w:hint="eastAsia"/>
                      <w:snapToGrid w:val="0"/>
                      <w:color w:val="auto"/>
                    </w:rPr>
                    <w:t>60</w:t>
                  </w:r>
                </w:p>
              </w:tc>
              <w:tc>
                <w:tcPr>
                  <w:tcW w:w="1015" w:type="dxa"/>
                  <w:vMerge w:val="restart"/>
                  <w:vAlign w:val="center"/>
                </w:tcPr>
                <w:p>
                  <w:pPr>
                    <w:jc w:val="center"/>
                    <w:rPr>
                      <w:snapToGrid w:val="0"/>
                      <w:color w:val="auto"/>
                    </w:rPr>
                  </w:pPr>
                  <w:r>
                    <w:rPr>
                      <w:rFonts w:hint="eastAsia"/>
                      <w:snapToGrid w:val="0"/>
                      <w:color w:val="auto"/>
                    </w:rPr>
                    <w:t>50</w:t>
                  </w:r>
                </w:p>
              </w:tc>
              <w:tc>
                <w:tcPr>
                  <w:tcW w:w="1011" w:type="dxa"/>
                  <w:vAlign w:val="center"/>
                </w:tcPr>
                <w:p>
                  <w:pPr>
                    <w:jc w:val="center"/>
                    <w:rPr>
                      <w:snapToGrid w:val="0"/>
                      <w:color w:val="auto"/>
                    </w:rPr>
                  </w:pPr>
                  <w:r>
                    <w:rPr>
                      <w:rFonts w:hint="eastAsia"/>
                      <w:snapToGrid w:val="0"/>
                      <w:color w:val="auto"/>
                    </w:rPr>
                    <w:t>达标</w:t>
                  </w:r>
                </w:p>
              </w:tc>
              <w:tc>
                <w:tcPr>
                  <w:tcW w:w="1050" w:type="dxa"/>
                  <w:vAlign w:val="center"/>
                </w:tcPr>
                <w:p>
                  <w:pPr>
                    <w:jc w:val="center"/>
                    <w:rPr>
                      <w:snapToGrid w:val="0"/>
                      <w:color w:val="auto"/>
                    </w:rPr>
                  </w:pPr>
                  <w:r>
                    <w:rPr>
                      <w:rFonts w:hint="eastAsia"/>
                      <w:snapToGrid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861" w:type="dxa"/>
                  <w:vAlign w:val="center"/>
                </w:tcPr>
                <w:p>
                  <w:pPr>
                    <w:jc w:val="center"/>
                    <w:rPr>
                      <w:snapToGrid w:val="0"/>
                      <w:color w:val="auto"/>
                    </w:rPr>
                  </w:pPr>
                  <w:r>
                    <w:rPr>
                      <w:rFonts w:hint="eastAsia"/>
                      <w:snapToGrid w:val="0"/>
                      <w:color w:val="auto"/>
                    </w:rPr>
                    <w:t>南厂界</w:t>
                  </w:r>
                </w:p>
              </w:tc>
              <w:tc>
                <w:tcPr>
                  <w:tcW w:w="1803" w:type="dxa"/>
                  <w:vAlign w:val="center"/>
                </w:tcPr>
                <w:p>
                  <w:pPr>
                    <w:jc w:val="center"/>
                    <w:rPr>
                      <w:snapToGrid w:val="0"/>
                      <w:color w:val="auto"/>
                    </w:rPr>
                  </w:pPr>
                  <w:r>
                    <w:rPr>
                      <w:rFonts w:hint="eastAsia"/>
                      <w:snapToGrid w:val="0"/>
                      <w:color w:val="auto"/>
                    </w:rPr>
                    <w:t>46.7</w:t>
                  </w:r>
                </w:p>
              </w:tc>
              <w:tc>
                <w:tcPr>
                  <w:tcW w:w="1180" w:type="dxa"/>
                  <w:vMerge w:val="continue"/>
                  <w:vAlign w:val="center"/>
                </w:tcPr>
                <w:p>
                  <w:pPr>
                    <w:jc w:val="center"/>
                    <w:rPr>
                      <w:snapToGrid w:val="0"/>
                      <w:color w:val="auto"/>
                    </w:rPr>
                  </w:pPr>
                </w:p>
              </w:tc>
              <w:tc>
                <w:tcPr>
                  <w:tcW w:w="1015" w:type="dxa"/>
                  <w:vMerge w:val="continue"/>
                  <w:vAlign w:val="center"/>
                </w:tcPr>
                <w:p>
                  <w:pPr>
                    <w:jc w:val="center"/>
                    <w:rPr>
                      <w:snapToGrid w:val="0"/>
                      <w:color w:val="auto"/>
                    </w:rPr>
                  </w:pPr>
                </w:p>
              </w:tc>
              <w:tc>
                <w:tcPr>
                  <w:tcW w:w="1011" w:type="dxa"/>
                  <w:vAlign w:val="center"/>
                </w:tcPr>
                <w:p>
                  <w:pPr>
                    <w:jc w:val="center"/>
                    <w:rPr>
                      <w:snapToGrid w:val="0"/>
                      <w:color w:val="auto"/>
                    </w:rPr>
                  </w:pPr>
                  <w:r>
                    <w:rPr>
                      <w:rFonts w:hint="eastAsia"/>
                      <w:snapToGrid w:val="0"/>
                      <w:color w:val="auto"/>
                    </w:rPr>
                    <w:t>达标</w:t>
                  </w:r>
                </w:p>
              </w:tc>
              <w:tc>
                <w:tcPr>
                  <w:tcW w:w="1050" w:type="dxa"/>
                  <w:vAlign w:val="center"/>
                </w:tcPr>
                <w:p>
                  <w:pPr>
                    <w:jc w:val="center"/>
                    <w:rPr>
                      <w:snapToGrid w:val="0"/>
                      <w:color w:val="auto"/>
                    </w:rPr>
                  </w:pPr>
                  <w:r>
                    <w:rPr>
                      <w:rFonts w:hint="eastAsia"/>
                      <w:snapToGrid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861" w:type="dxa"/>
                  <w:vAlign w:val="center"/>
                </w:tcPr>
                <w:p>
                  <w:pPr>
                    <w:jc w:val="center"/>
                    <w:rPr>
                      <w:snapToGrid w:val="0"/>
                      <w:color w:val="auto"/>
                    </w:rPr>
                  </w:pPr>
                  <w:r>
                    <w:rPr>
                      <w:rFonts w:hint="eastAsia"/>
                      <w:snapToGrid w:val="0"/>
                      <w:color w:val="auto"/>
                    </w:rPr>
                    <w:t>西厂界</w:t>
                  </w:r>
                </w:p>
              </w:tc>
              <w:tc>
                <w:tcPr>
                  <w:tcW w:w="1803" w:type="dxa"/>
                  <w:vAlign w:val="center"/>
                </w:tcPr>
                <w:p>
                  <w:pPr>
                    <w:jc w:val="center"/>
                    <w:rPr>
                      <w:snapToGrid w:val="0"/>
                      <w:color w:val="auto"/>
                    </w:rPr>
                  </w:pPr>
                  <w:r>
                    <w:rPr>
                      <w:rFonts w:hint="eastAsia"/>
                      <w:snapToGrid w:val="0"/>
                      <w:color w:val="auto"/>
                    </w:rPr>
                    <w:t>46.0</w:t>
                  </w:r>
                </w:p>
              </w:tc>
              <w:tc>
                <w:tcPr>
                  <w:tcW w:w="1180" w:type="dxa"/>
                  <w:vMerge w:val="continue"/>
                  <w:vAlign w:val="center"/>
                </w:tcPr>
                <w:p>
                  <w:pPr>
                    <w:jc w:val="center"/>
                    <w:rPr>
                      <w:snapToGrid w:val="0"/>
                      <w:color w:val="auto"/>
                    </w:rPr>
                  </w:pPr>
                </w:p>
              </w:tc>
              <w:tc>
                <w:tcPr>
                  <w:tcW w:w="1015" w:type="dxa"/>
                  <w:vMerge w:val="continue"/>
                  <w:vAlign w:val="center"/>
                </w:tcPr>
                <w:p>
                  <w:pPr>
                    <w:jc w:val="center"/>
                    <w:rPr>
                      <w:snapToGrid w:val="0"/>
                      <w:color w:val="auto"/>
                    </w:rPr>
                  </w:pPr>
                </w:p>
              </w:tc>
              <w:tc>
                <w:tcPr>
                  <w:tcW w:w="1011" w:type="dxa"/>
                  <w:vAlign w:val="center"/>
                </w:tcPr>
                <w:p>
                  <w:pPr>
                    <w:jc w:val="center"/>
                    <w:rPr>
                      <w:snapToGrid w:val="0"/>
                      <w:color w:val="auto"/>
                    </w:rPr>
                  </w:pPr>
                  <w:r>
                    <w:rPr>
                      <w:rFonts w:hint="eastAsia"/>
                      <w:snapToGrid w:val="0"/>
                      <w:color w:val="auto"/>
                    </w:rPr>
                    <w:t>达标</w:t>
                  </w:r>
                </w:p>
              </w:tc>
              <w:tc>
                <w:tcPr>
                  <w:tcW w:w="1050" w:type="dxa"/>
                  <w:vAlign w:val="center"/>
                </w:tcPr>
                <w:p>
                  <w:pPr>
                    <w:jc w:val="center"/>
                    <w:rPr>
                      <w:snapToGrid w:val="0"/>
                      <w:color w:val="auto"/>
                    </w:rPr>
                  </w:pPr>
                  <w:r>
                    <w:rPr>
                      <w:rFonts w:hint="eastAsia"/>
                      <w:snapToGrid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861" w:type="dxa"/>
                  <w:vAlign w:val="center"/>
                </w:tcPr>
                <w:p>
                  <w:pPr>
                    <w:jc w:val="center"/>
                    <w:rPr>
                      <w:snapToGrid w:val="0"/>
                      <w:color w:val="auto"/>
                    </w:rPr>
                  </w:pPr>
                  <w:r>
                    <w:rPr>
                      <w:rFonts w:hint="eastAsia"/>
                      <w:snapToGrid w:val="0"/>
                      <w:color w:val="auto"/>
                    </w:rPr>
                    <w:t>北厂界</w:t>
                  </w:r>
                </w:p>
              </w:tc>
              <w:tc>
                <w:tcPr>
                  <w:tcW w:w="1803" w:type="dxa"/>
                  <w:vAlign w:val="center"/>
                </w:tcPr>
                <w:p>
                  <w:pPr>
                    <w:jc w:val="center"/>
                    <w:rPr>
                      <w:snapToGrid w:val="0"/>
                      <w:color w:val="auto"/>
                    </w:rPr>
                  </w:pPr>
                  <w:r>
                    <w:rPr>
                      <w:rFonts w:hint="eastAsia"/>
                      <w:snapToGrid w:val="0"/>
                      <w:color w:val="auto"/>
                    </w:rPr>
                    <w:t>38.1</w:t>
                  </w:r>
                </w:p>
              </w:tc>
              <w:tc>
                <w:tcPr>
                  <w:tcW w:w="1180" w:type="dxa"/>
                  <w:vMerge w:val="continue"/>
                  <w:vAlign w:val="center"/>
                </w:tcPr>
                <w:p>
                  <w:pPr>
                    <w:jc w:val="center"/>
                    <w:rPr>
                      <w:snapToGrid w:val="0"/>
                      <w:color w:val="auto"/>
                    </w:rPr>
                  </w:pPr>
                </w:p>
              </w:tc>
              <w:tc>
                <w:tcPr>
                  <w:tcW w:w="1015" w:type="dxa"/>
                  <w:vMerge w:val="continue"/>
                  <w:vAlign w:val="center"/>
                </w:tcPr>
                <w:p>
                  <w:pPr>
                    <w:jc w:val="center"/>
                    <w:rPr>
                      <w:snapToGrid w:val="0"/>
                      <w:color w:val="auto"/>
                    </w:rPr>
                  </w:pPr>
                </w:p>
              </w:tc>
              <w:tc>
                <w:tcPr>
                  <w:tcW w:w="1011" w:type="dxa"/>
                  <w:vAlign w:val="center"/>
                </w:tcPr>
                <w:p>
                  <w:pPr>
                    <w:jc w:val="center"/>
                    <w:rPr>
                      <w:snapToGrid w:val="0"/>
                      <w:color w:val="auto"/>
                    </w:rPr>
                  </w:pPr>
                  <w:r>
                    <w:rPr>
                      <w:rFonts w:hint="eastAsia"/>
                      <w:snapToGrid w:val="0"/>
                      <w:color w:val="auto"/>
                    </w:rPr>
                    <w:t>达标</w:t>
                  </w:r>
                </w:p>
              </w:tc>
              <w:tc>
                <w:tcPr>
                  <w:tcW w:w="1050" w:type="dxa"/>
                  <w:vAlign w:val="center"/>
                </w:tcPr>
                <w:p>
                  <w:pPr>
                    <w:jc w:val="center"/>
                    <w:rPr>
                      <w:snapToGrid w:val="0"/>
                      <w:color w:val="auto"/>
                    </w:rPr>
                  </w:pPr>
                  <w:r>
                    <w:rPr>
                      <w:rFonts w:hint="eastAsia"/>
                      <w:snapToGrid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7920" w:type="dxa"/>
                  <w:gridSpan w:val="6"/>
                  <w:vAlign w:val="center"/>
                </w:tcPr>
                <w:p>
                  <w:pPr>
                    <w:jc w:val="center"/>
                    <w:rPr>
                      <w:snapToGrid w:val="0"/>
                      <w:color w:val="auto"/>
                    </w:rPr>
                  </w:pPr>
                  <w:r>
                    <w:rPr>
                      <w:rFonts w:hint="eastAsia"/>
                      <w:snapToGrid w:val="0"/>
                      <w:color w:val="auto"/>
                    </w:rPr>
                    <w:t>4926-4站场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861" w:type="dxa"/>
                  <w:vAlign w:val="center"/>
                </w:tcPr>
                <w:p>
                  <w:pPr>
                    <w:jc w:val="center"/>
                    <w:rPr>
                      <w:snapToGrid w:val="0"/>
                      <w:color w:val="auto"/>
                    </w:rPr>
                  </w:pPr>
                  <w:r>
                    <w:rPr>
                      <w:rFonts w:hint="eastAsia"/>
                      <w:snapToGrid w:val="0"/>
                      <w:color w:val="auto"/>
                    </w:rPr>
                    <w:t>东厂界</w:t>
                  </w:r>
                </w:p>
              </w:tc>
              <w:tc>
                <w:tcPr>
                  <w:tcW w:w="1803" w:type="dxa"/>
                  <w:vAlign w:val="center"/>
                </w:tcPr>
                <w:p>
                  <w:pPr>
                    <w:jc w:val="center"/>
                    <w:rPr>
                      <w:snapToGrid w:val="0"/>
                      <w:color w:val="auto"/>
                    </w:rPr>
                  </w:pPr>
                  <w:r>
                    <w:rPr>
                      <w:rFonts w:hint="eastAsia"/>
                      <w:snapToGrid w:val="0"/>
                      <w:color w:val="auto"/>
                    </w:rPr>
                    <w:t>46.2</w:t>
                  </w:r>
                </w:p>
              </w:tc>
              <w:tc>
                <w:tcPr>
                  <w:tcW w:w="1180" w:type="dxa"/>
                  <w:vMerge w:val="restart"/>
                  <w:vAlign w:val="center"/>
                </w:tcPr>
                <w:p>
                  <w:pPr>
                    <w:jc w:val="center"/>
                    <w:rPr>
                      <w:snapToGrid w:val="0"/>
                      <w:color w:val="auto"/>
                    </w:rPr>
                  </w:pPr>
                  <w:r>
                    <w:rPr>
                      <w:rFonts w:hint="eastAsia"/>
                      <w:snapToGrid w:val="0"/>
                      <w:color w:val="auto"/>
                    </w:rPr>
                    <w:t>60</w:t>
                  </w:r>
                </w:p>
              </w:tc>
              <w:tc>
                <w:tcPr>
                  <w:tcW w:w="1015" w:type="dxa"/>
                  <w:vMerge w:val="restart"/>
                  <w:vAlign w:val="center"/>
                </w:tcPr>
                <w:p>
                  <w:pPr>
                    <w:jc w:val="center"/>
                    <w:rPr>
                      <w:snapToGrid w:val="0"/>
                      <w:color w:val="auto"/>
                    </w:rPr>
                  </w:pPr>
                  <w:r>
                    <w:rPr>
                      <w:rFonts w:hint="eastAsia"/>
                      <w:snapToGrid w:val="0"/>
                      <w:color w:val="auto"/>
                    </w:rPr>
                    <w:t>50</w:t>
                  </w:r>
                </w:p>
              </w:tc>
              <w:tc>
                <w:tcPr>
                  <w:tcW w:w="1011" w:type="dxa"/>
                  <w:vAlign w:val="center"/>
                </w:tcPr>
                <w:p>
                  <w:pPr>
                    <w:jc w:val="center"/>
                    <w:rPr>
                      <w:snapToGrid w:val="0"/>
                      <w:color w:val="auto"/>
                    </w:rPr>
                  </w:pPr>
                  <w:r>
                    <w:rPr>
                      <w:rFonts w:hint="eastAsia"/>
                      <w:snapToGrid w:val="0"/>
                      <w:color w:val="auto"/>
                    </w:rPr>
                    <w:t>达标</w:t>
                  </w:r>
                </w:p>
              </w:tc>
              <w:tc>
                <w:tcPr>
                  <w:tcW w:w="1050" w:type="dxa"/>
                  <w:vAlign w:val="center"/>
                </w:tcPr>
                <w:p>
                  <w:pPr>
                    <w:jc w:val="center"/>
                    <w:rPr>
                      <w:snapToGrid w:val="0"/>
                      <w:color w:val="auto"/>
                    </w:rPr>
                  </w:pPr>
                  <w:r>
                    <w:rPr>
                      <w:rFonts w:hint="eastAsia"/>
                      <w:snapToGrid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861" w:type="dxa"/>
                  <w:vAlign w:val="center"/>
                </w:tcPr>
                <w:p>
                  <w:pPr>
                    <w:jc w:val="center"/>
                    <w:rPr>
                      <w:snapToGrid w:val="0"/>
                      <w:color w:val="auto"/>
                    </w:rPr>
                  </w:pPr>
                  <w:r>
                    <w:rPr>
                      <w:rFonts w:hint="eastAsia"/>
                      <w:snapToGrid w:val="0"/>
                      <w:color w:val="auto"/>
                    </w:rPr>
                    <w:t>南厂界</w:t>
                  </w:r>
                </w:p>
              </w:tc>
              <w:tc>
                <w:tcPr>
                  <w:tcW w:w="1803" w:type="dxa"/>
                  <w:vAlign w:val="center"/>
                </w:tcPr>
                <w:p>
                  <w:pPr>
                    <w:jc w:val="center"/>
                    <w:rPr>
                      <w:snapToGrid w:val="0"/>
                      <w:color w:val="auto"/>
                    </w:rPr>
                  </w:pPr>
                  <w:r>
                    <w:rPr>
                      <w:rFonts w:hint="eastAsia"/>
                      <w:snapToGrid w:val="0"/>
                      <w:color w:val="auto"/>
                    </w:rPr>
                    <w:t>42.1</w:t>
                  </w:r>
                </w:p>
              </w:tc>
              <w:tc>
                <w:tcPr>
                  <w:tcW w:w="1180" w:type="dxa"/>
                  <w:vMerge w:val="continue"/>
                  <w:vAlign w:val="center"/>
                </w:tcPr>
                <w:p>
                  <w:pPr>
                    <w:jc w:val="center"/>
                    <w:rPr>
                      <w:snapToGrid w:val="0"/>
                      <w:color w:val="auto"/>
                    </w:rPr>
                  </w:pPr>
                </w:p>
              </w:tc>
              <w:tc>
                <w:tcPr>
                  <w:tcW w:w="1015" w:type="dxa"/>
                  <w:vMerge w:val="continue"/>
                  <w:vAlign w:val="center"/>
                </w:tcPr>
                <w:p>
                  <w:pPr>
                    <w:jc w:val="center"/>
                    <w:rPr>
                      <w:snapToGrid w:val="0"/>
                      <w:color w:val="auto"/>
                    </w:rPr>
                  </w:pPr>
                </w:p>
              </w:tc>
              <w:tc>
                <w:tcPr>
                  <w:tcW w:w="1011" w:type="dxa"/>
                  <w:vAlign w:val="center"/>
                </w:tcPr>
                <w:p>
                  <w:pPr>
                    <w:jc w:val="center"/>
                    <w:rPr>
                      <w:snapToGrid w:val="0"/>
                      <w:color w:val="auto"/>
                    </w:rPr>
                  </w:pPr>
                  <w:r>
                    <w:rPr>
                      <w:rFonts w:hint="eastAsia"/>
                      <w:snapToGrid w:val="0"/>
                      <w:color w:val="auto"/>
                    </w:rPr>
                    <w:t>达标</w:t>
                  </w:r>
                </w:p>
              </w:tc>
              <w:tc>
                <w:tcPr>
                  <w:tcW w:w="1050" w:type="dxa"/>
                  <w:vAlign w:val="center"/>
                </w:tcPr>
                <w:p>
                  <w:pPr>
                    <w:jc w:val="center"/>
                    <w:rPr>
                      <w:snapToGrid w:val="0"/>
                      <w:color w:val="auto"/>
                    </w:rPr>
                  </w:pPr>
                  <w:r>
                    <w:rPr>
                      <w:rFonts w:hint="eastAsia"/>
                      <w:snapToGrid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861" w:type="dxa"/>
                  <w:vAlign w:val="center"/>
                </w:tcPr>
                <w:p>
                  <w:pPr>
                    <w:jc w:val="center"/>
                    <w:rPr>
                      <w:snapToGrid w:val="0"/>
                      <w:color w:val="auto"/>
                    </w:rPr>
                  </w:pPr>
                  <w:r>
                    <w:rPr>
                      <w:rFonts w:hint="eastAsia"/>
                      <w:snapToGrid w:val="0"/>
                      <w:color w:val="auto"/>
                    </w:rPr>
                    <w:t>西厂界</w:t>
                  </w:r>
                </w:p>
              </w:tc>
              <w:tc>
                <w:tcPr>
                  <w:tcW w:w="1803" w:type="dxa"/>
                  <w:vAlign w:val="center"/>
                </w:tcPr>
                <w:p>
                  <w:pPr>
                    <w:jc w:val="center"/>
                    <w:rPr>
                      <w:snapToGrid w:val="0"/>
                      <w:color w:val="auto"/>
                    </w:rPr>
                  </w:pPr>
                  <w:r>
                    <w:rPr>
                      <w:rFonts w:hint="eastAsia"/>
                      <w:snapToGrid w:val="0"/>
                      <w:color w:val="auto"/>
                    </w:rPr>
                    <w:t>45.4</w:t>
                  </w:r>
                </w:p>
              </w:tc>
              <w:tc>
                <w:tcPr>
                  <w:tcW w:w="1180" w:type="dxa"/>
                  <w:vMerge w:val="continue"/>
                  <w:vAlign w:val="center"/>
                </w:tcPr>
                <w:p>
                  <w:pPr>
                    <w:jc w:val="center"/>
                    <w:rPr>
                      <w:snapToGrid w:val="0"/>
                      <w:color w:val="auto"/>
                    </w:rPr>
                  </w:pPr>
                </w:p>
              </w:tc>
              <w:tc>
                <w:tcPr>
                  <w:tcW w:w="1015" w:type="dxa"/>
                  <w:vMerge w:val="continue"/>
                  <w:vAlign w:val="center"/>
                </w:tcPr>
                <w:p>
                  <w:pPr>
                    <w:jc w:val="center"/>
                    <w:rPr>
                      <w:snapToGrid w:val="0"/>
                      <w:color w:val="auto"/>
                    </w:rPr>
                  </w:pPr>
                </w:p>
              </w:tc>
              <w:tc>
                <w:tcPr>
                  <w:tcW w:w="1011" w:type="dxa"/>
                  <w:vAlign w:val="center"/>
                </w:tcPr>
                <w:p>
                  <w:pPr>
                    <w:jc w:val="center"/>
                    <w:rPr>
                      <w:snapToGrid w:val="0"/>
                      <w:color w:val="auto"/>
                    </w:rPr>
                  </w:pPr>
                  <w:r>
                    <w:rPr>
                      <w:rFonts w:hint="eastAsia"/>
                      <w:snapToGrid w:val="0"/>
                      <w:color w:val="auto"/>
                    </w:rPr>
                    <w:t>达标</w:t>
                  </w:r>
                </w:p>
              </w:tc>
              <w:tc>
                <w:tcPr>
                  <w:tcW w:w="1050" w:type="dxa"/>
                  <w:vAlign w:val="center"/>
                </w:tcPr>
                <w:p>
                  <w:pPr>
                    <w:jc w:val="center"/>
                    <w:rPr>
                      <w:snapToGrid w:val="0"/>
                      <w:color w:val="auto"/>
                    </w:rPr>
                  </w:pPr>
                  <w:r>
                    <w:rPr>
                      <w:rFonts w:hint="eastAsia"/>
                      <w:snapToGrid w:val="0"/>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861" w:type="dxa"/>
                  <w:vAlign w:val="center"/>
                </w:tcPr>
                <w:p>
                  <w:pPr>
                    <w:jc w:val="center"/>
                    <w:rPr>
                      <w:snapToGrid w:val="0"/>
                      <w:color w:val="auto"/>
                    </w:rPr>
                  </w:pPr>
                  <w:r>
                    <w:rPr>
                      <w:rFonts w:hint="eastAsia"/>
                      <w:snapToGrid w:val="0"/>
                      <w:color w:val="auto"/>
                    </w:rPr>
                    <w:t>北厂界</w:t>
                  </w:r>
                </w:p>
              </w:tc>
              <w:tc>
                <w:tcPr>
                  <w:tcW w:w="1803" w:type="dxa"/>
                  <w:vAlign w:val="center"/>
                </w:tcPr>
                <w:p>
                  <w:pPr>
                    <w:jc w:val="center"/>
                    <w:rPr>
                      <w:snapToGrid w:val="0"/>
                      <w:color w:val="auto"/>
                    </w:rPr>
                  </w:pPr>
                  <w:r>
                    <w:rPr>
                      <w:rFonts w:hint="eastAsia"/>
                      <w:snapToGrid w:val="0"/>
                      <w:color w:val="auto"/>
                    </w:rPr>
                    <w:t>40.1</w:t>
                  </w:r>
                </w:p>
              </w:tc>
              <w:tc>
                <w:tcPr>
                  <w:tcW w:w="1180" w:type="dxa"/>
                  <w:vMerge w:val="continue"/>
                  <w:vAlign w:val="center"/>
                </w:tcPr>
                <w:p>
                  <w:pPr>
                    <w:jc w:val="center"/>
                    <w:rPr>
                      <w:snapToGrid w:val="0"/>
                      <w:color w:val="auto"/>
                    </w:rPr>
                  </w:pPr>
                </w:p>
              </w:tc>
              <w:tc>
                <w:tcPr>
                  <w:tcW w:w="1015" w:type="dxa"/>
                  <w:vMerge w:val="continue"/>
                  <w:vAlign w:val="center"/>
                </w:tcPr>
                <w:p>
                  <w:pPr>
                    <w:jc w:val="center"/>
                    <w:rPr>
                      <w:snapToGrid w:val="0"/>
                      <w:color w:val="auto"/>
                    </w:rPr>
                  </w:pPr>
                </w:p>
              </w:tc>
              <w:tc>
                <w:tcPr>
                  <w:tcW w:w="1011" w:type="dxa"/>
                  <w:vAlign w:val="center"/>
                </w:tcPr>
                <w:p>
                  <w:pPr>
                    <w:jc w:val="center"/>
                    <w:rPr>
                      <w:snapToGrid w:val="0"/>
                      <w:color w:val="auto"/>
                    </w:rPr>
                  </w:pPr>
                  <w:r>
                    <w:rPr>
                      <w:rFonts w:hint="eastAsia"/>
                      <w:snapToGrid w:val="0"/>
                      <w:color w:val="auto"/>
                    </w:rPr>
                    <w:t>达标</w:t>
                  </w:r>
                </w:p>
              </w:tc>
              <w:tc>
                <w:tcPr>
                  <w:tcW w:w="1050" w:type="dxa"/>
                  <w:vAlign w:val="center"/>
                </w:tcPr>
                <w:p>
                  <w:pPr>
                    <w:jc w:val="center"/>
                    <w:rPr>
                      <w:snapToGrid w:val="0"/>
                      <w:color w:val="auto"/>
                    </w:rPr>
                  </w:pPr>
                  <w:r>
                    <w:rPr>
                      <w:rFonts w:hint="eastAsia"/>
                      <w:snapToGrid w:val="0"/>
                      <w:color w:val="auto"/>
                    </w:rPr>
                    <w:t>达标</w:t>
                  </w:r>
                </w:p>
              </w:tc>
            </w:tr>
          </w:tbl>
          <w:p>
            <w:pPr>
              <w:widowControl/>
              <w:spacing w:line="360" w:lineRule="auto"/>
              <w:ind w:firstLine="480" w:firstLineChars="200"/>
              <w:textAlignment w:val="baseline"/>
              <w:rPr>
                <w:snapToGrid w:val="0"/>
                <w:color w:val="auto"/>
                <w:sz w:val="24"/>
              </w:rPr>
            </w:pPr>
            <w:r>
              <w:rPr>
                <w:snapToGrid w:val="0"/>
                <w:color w:val="auto"/>
                <w:sz w:val="24"/>
              </w:rPr>
              <w:t>由上表可知，项目在采取基础减振</w:t>
            </w:r>
            <w:r>
              <w:rPr>
                <w:rFonts w:hint="eastAsia"/>
                <w:snapToGrid w:val="0"/>
                <w:color w:val="auto"/>
                <w:sz w:val="24"/>
              </w:rPr>
              <w:t>、选用低噪声设备</w:t>
            </w:r>
            <w:r>
              <w:rPr>
                <w:snapToGrid w:val="0"/>
                <w:color w:val="auto"/>
                <w:sz w:val="24"/>
              </w:rPr>
              <w:t>等措施后，厂界噪声</w:t>
            </w:r>
            <w:r>
              <w:rPr>
                <w:rFonts w:hint="eastAsia"/>
                <w:snapToGrid w:val="0"/>
                <w:color w:val="auto"/>
                <w:sz w:val="24"/>
              </w:rPr>
              <w:t>预测</w:t>
            </w:r>
            <w:r>
              <w:rPr>
                <w:snapToGrid w:val="0"/>
                <w:color w:val="auto"/>
                <w:sz w:val="24"/>
              </w:rPr>
              <w:t>值均符合《工业企业厂界环境噪声排放标准》（GB12348-2008）</w:t>
            </w:r>
            <w:r>
              <w:rPr>
                <w:rFonts w:hint="eastAsia"/>
                <w:snapToGrid w:val="0"/>
                <w:color w:val="auto"/>
                <w:sz w:val="24"/>
              </w:rPr>
              <w:t>2</w:t>
            </w:r>
            <w:r>
              <w:rPr>
                <w:snapToGrid w:val="0"/>
                <w:color w:val="auto"/>
                <w:sz w:val="24"/>
              </w:rPr>
              <w:t>类标准要求，对周围声环境影响较小。</w:t>
            </w:r>
          </w:p>
          <w:p>
            <w:pPr>
              <w:pStyle w:val="11"/>
              <w:spacing w:line="360" w:lineRule="auto"/>
              <w:ind w:firstLine="442" w:firstLineChars="200"/>
              <w:jc w:val="both"/>
              <w:rPr>
                <w:b/>
                <w:bCs/>
                <w:color w:val="auto"/>
                <w:spacing w:val="-10"/>
                <w:szCs w:val="24"/>
              </w:rPr>
            </w:pPr>
            <w:r>
              <w:rPr>
                <w:rFonts w:hint="eastAsia"/>
                <w:b/>
                <w:bCs/>
                <w:color w:val="auto"/>
                <w:spacing w:val="-10"/>
                <w:szCs w:val="24"/>
              </w:rPr>
              <w:t>4、固体废物</w:t>
            </w:r>
          </w:p>
          <w:p>
            <w:pPr>
              <w:widowControl/>
              <w:spacing w:line="360" w:lineRule="auto"/>
              <w:ind w:firstLine="480" w:firstLineChars="200"/>
              <w:jc w:val="left"/>
              <w:rPr>
                <w:color w:val="auto"/>
                <w:sz w:val="24"/>
              </w:rPr>
            </w:pPr>
            <w:r>
              <w:rPr>
                <w:rFonts w:hint="eastAsia" w:ascii="宋体" w:hAnsi="宋体" w:cs="宋体"/>
                <w:color w:val="auto"/>
                <w:sz w:val="24"/>
              </w:rPr>
              <w:t xml:space="preserve">⑴ </w:t>
            </w:r>
            <w:r>
              <w:rPr>
                <w:rFonts w:hint="eastAsia"/>
                <w:color w:val="auto"/>
                <w:sz w:val="24"/>
              </w:rPr>
              <w:t>污染源分析</w:t>
            </w:r>
          </w:p>
          <w:p>
            <w:pPr>
              <w:spacing w:line="360" w:lineRule="auto"/>
              <w:ind w:firstLine="480" w:firstLineChars="200"/>
              <w:jc w:val="left"/>
              <w:rPr>
                <w:color w:val="auto"/>
                <w:sz w:val="24"/>
              </w:rPr>
            </w:pPr>
            <w:r>
              <w:rPr>
                <w:color w:val="auto"/>
                <w:sz w:val="24"/>
              </w:rPr>
              <w:t>本项目工作人员由现有人员调配，不新增劳动定员，因此，不新增生活垃圾。本项目产生的固体废物主要有</w:t>
            </w:r>
            <w:r>
              <w:rPr>
                <w:rFonts w:hint="eastAsia"/>
                <w:color w:val="auto"/>
                <w:sz w:val="24"/>
              </w:rPr>
              <w:t>含油</w:t>
            </w:r>
            <w:r>
              <w:rPr>
                <w:color w:val="auto"/>
                <w:sz w:val="24"/>
              </w:rPr>
              <w:t>污泥、废滤料。</w:t>
            </w:r>
          </w:p>
          <w:p>
            <w:pPr>
              <w:spacing w:line="360" w:lineRule="auto"/>
              <w:ind w:firstLine="480" w:firstLineChars="200"/>
              <w:jc w:val="left"/>
              <w:rPr>
                <w:color w:val="auto"/>
                <w:sz w:val="24"/>
              </w:rPr>
            </w:pPr>
            <w:r>
              <w:rPr>
                <w:rFonts w:hint="eastAsia"/>
                <w:color w:val="auto"/>
                <w:sz w:val="24"/>
              </w:rPr>
              <w:t>根据建设单位提供资料，项目含油污泥及废滤料产生量相关参数</w:t>
            </w:r>
            <w:r>
              <w:rPr>
                <w:color w:val="auto"/>
                <w:sz w:val="24"/>
              </w:rPr>
              <w:t>见表</w:t>
            </w:r>
            <w:r>
              <w:rPr>
                <w:rFonts w:hint="eastAsia"/>
                <w:color w:val="auto"/>
                <w:sz w:val="24"/>
              </w:rPr>
              <w:t>4-5</w:t>
            </w:r>
            <w:r>
              <w:rPr>
                <w:color w:val="auto"/>
                <w:sz w:val="24"/>
              </w:rPr>
              <w:t>。</w:t>
            </w:r>
          </w:p>
          <w:p>
            <w:pPr>
              <w:pStyle w:val="14"/>
              <w:spacing w:before="24" w:after="24" w:line="360" w:lineRule="auto"/>
              <w:ind w:firstLine="420"/>
              <w:jc w:val="center"/>
              <w:rPr>
                <w:rFonts w:ascii="Times New Roman" w:hAnsi="黑体" w:eastAsia="黑体"/>
                <w:color w:val="auto"/>
              </w:rPr>
            </w:pPr>
            <w:r>
              <w:rPr>
                <w:rFonts w:ascii="Times New Roman" w:hAnsi="黑体" w:eastAsia="黑体"/>
                <w:color w:val="auto"/>
              </w:rPr>
              <w:t>表</w:t>
            </w:r>
            <w:r>
              <w:rPr>
                <w:rFonts w:hint="eastAsia" w:ascii="Times New Roman" w:hAnsi="Times New Roman" w:eastAsia="黑体"/>
                <w:color w:val="auto"/>
              </w:rPr>
              <w:t>4-5</w:t>
            </w:r>
            <w:r>
              <w:rPr>
                <w:rFonts w:ascii="Times New Roman" w:hAnsi="Times New Roman" w:eastAsia="黑体"/>
                <w:color w:val="auto"/>
              </w:rPr>
              <w:t xml:space="preserve">  </w:t>
            </w:r>
            <w:r>
              <w:rPr>
                <w:rFonts w:hint="eastAsia" w:ascii="黑体" w:hAnsi="黑体" w:eastAsia="黑体"/>
                <w:color w:val="auto"/>
              </w:rPr>
              <w:t>项目固体废物污染源源强核算结果及相关参数一览表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841"/>
              <w:gridCol w:w="615"/>
              <w:gridCol w:w="1185"/>
              <w:gridCol w:w="1497"/>
              <w:gridCol w:w="1148"/>
              <w:gridCol w:w="2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65" w:hRule="atLeast"/>
                <w:jc w:val="center"/>
              </w:trPr>
              <w:tc>
                <w:tcPr>
                  <w:tcW w:w="841" w:type="dxa"/>
                  <w:vAlign w:val="center"/>
                </w:tcPr>
                <w:p>
                  <w:pPr>
                    <w:snapToGrid w:val="0"/>
                    <w:spacing w:line="280" w:lineRule="exact"/>
                    <w:jc w:val="center"/>
                    <w:rPr>
                      <w:color w:val="auto"/>
                      <w:szCs w:val="21"/>
                    </w:rPr>
                  </w:pPr>
                  <w:r>
                    <w:rPr>
                      <w:rFonts w:hint="eastAsia"/>
                      <w:color w:val="auto"/>
                      <w:szCs w:val="21"/>
                    </w:rPr>
                    <w:t>站名</w:t>
                  </w:r>
                </w:p>
              </w:tc>
              <w:tc>
                <w:tcPr>
                  <w:tcW w:w="1800" w:type="dxa"/>
                  <w:gridSpan w:val="2"/>
                  <w:vAlign w:val="center"/>
                </w:tcPr>
                <w:p>
                  <w:pPr>
                    <w:snapToGrid w:val="0"/>
                    <w:spacing w:line="280" w:lineRule="exact"/>
                    <w:jc w:val="center"/>
                    <w:rPr>
                      <w:color w:val="auto"/>
                      <w:szCs w:val="21"/>
                    </w:rPr>
                  </w:pPr>
                  <w:r>
                    <w:rPr>
                      <w:rFonts w:hint="eastAsia"/>
                      <w:color w:val="auto"/>
                      <w:szCs w:val="21"/>
                    </w:rPr>
                    <w:t>固废名称</w:t>
                  </w:r>
                </w:p>
              </w:tc>
              <w:tc>
                <w:tcPr>
                  <w:tcW w:w="1497" w:type="dxa"/>
                  <w:vAlign w:val="center"/>
                </w:tcPr>
                <w:p>
                  <w:pPr>
                    <w:snapToGrid w:val="0"/>
                    <w:spacing w:line="280" w:lineRule="exact"/>
                    <w:jc w:val="center"/>
                    <w:rPr>
                      <w:color w:val="auto"/>
                      <w:szCs w:val="21"/>
                    </w:rPr>
                  </w:pPr>
                  <w:r>
                    <w:rPr>
                      <w:rFonts w:hint="eastAsia"/>
                      <w:color w:val="auto"/>
                      <w:szCs w:val="21"/>
                    </w:rPr>
                    <w:t>固废属性</w:t>
                  </w:r>
                </w:p>
              </w:tc>
              <w:tc>
                <w:tcPr>
                  <w:tcW w:w="1148" w:type="dxa"/>
                  <w:vAlign w:val="center"/>
                </w:tcPr>
                <w:p>
                  <w:pPr>
                    <w:snapToGrid w:val="0"/>
                    <w:spacing w:line="280" w:lineRule="exact"/>
                    <w:jc w:val="center"/>
                    <w:rPr>
                      <w:color w:val="auto"/>
                      <w:szCs w:val="21"/>
                    </w:rPr>
                  </w:pPr>
                  <w:r>
                    <w:rPr>
                      <w:rFonts w:hint="eastAsia"/>
                      <w:color w:val="auto"/>
                      <w:szCs w:val="21"/>
                    </w:rPr>
                    <w:t>产生量（t/a）</w:t>
                  </w:r>
                </w:p>
              </w:tc>
              <w:tc>
                <w:tcPr>
                  <w:tcW w:w="2646" w:type="dxa"/>
                  <w:vAlign w:val="center"/>
                </w:tcPr>
                <w:p>
                  <w:pPr>
                    <w:snapToGrid w:val="0"/>
                    <w:spacing w:line="280" w:lineRule="exact"/>
                    <w:jc w:val="center"/>
                    <w:rPr>
                      <w:color w:val="auto"/>
                      <w:szCs w:val="21"/>
                    </w:rPr>
                  </w:pPr>
                  <w:r>
                    <w:rPr>
                      <w:rFonts w:hint="eastAsia"/>
                      <w:color w:val="auto"/>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829" w:hRule="atLeast"/>
                <w:jc w:val="center"/>
              </w:trPr>
              <w:tc>
                <w:tcPr>
                  <w:tcW w:w="841" w:type="dxa"/>
                  <w:vMerge w:val="restart"/>
                  <w:vAlign w:val="center"/>
                </w:tcPr>
                <w:p>
                  <w:pPr>
                    <w:snapToGrid w:val="0"/>
                    <w:spacing w:line="280" w:lineRule="exact"/>
                    <w:jc w:val="center"/>
                    <w:rPr>
                      <w:color w:val="auto"/>
                      <w:szCs w:val="21"/>
                    </w:rPr>
                  </w:pPr>
                  <w:r>
                    <w:rPr>
                      <w:rFonts w:hint="eastAsia"/>
                      <w:color w:val="auto"/>
                      <w:szCs w:val="21"/>
                    </w:rPr>
                    <w:t>2511站</w:t>
                  </w:r>
                </w:p>
              </w:tc>
              <w:tc>
                <w:tcPr>
                  <w:tcW w:w="1800" w:type="dxa"/>
                  <w:gridSpan w:val="2"/>
                  <w:vAlign w:val="center"/>
                </w:tcPr>
                <w:p>
                  <w:pPr>
                    <w:snapToGrid w:val="0"/>
                    <w:spacing w:line="280" w:lineRule="exact"/>
                    <w:jc w:val="center"/>
                    <w:rPr>
                      <w:color w:val="auto"/>
                      <w:szCs w:val="21"/>
                    </w:rPr>
                  </w:pPr>
                  <w:r>
                    <w:rPr>
                      <w:rFonts w:hint="eastAsia"/>
                      <w:color w:val="auto"/>
                      <w:szCs w:val="21"/>
                    </w:rPr>
                    <w:t>含油污泥</w:t>
                  </w:r>
                </w:p>
              </w:tc>
              <w:tc>
                <w:tcPr>
                  <w:tcW w:w="1497" w:type="dxa"/>
                  <w:vAlign w:val="center"/>
                </w:tcPr>
                <w:p>
                  <w:pPr>
                    <w:snapToGrid w:val="0"/>
                    <w:spacing w:line="280" w:lineRule="exact"/>
                    <w:jc w:val="center"/>
                    <w:rPr>
                      <w:color w:val="auto"/>
                      <w:szCs w:val="21"/>
                    </w:rPr>
                  </w:pPr>
                  <w:r>
                    <w:rPr>
                      <w:rFonts w:hint="eastAsia"/>
                      <w:color w:val="auto"/>
                      <w:szCs w:val="21"/>
                    </w:rPr>
                    <w:t>危险废物（900-210-08）</w:t>
                  </w:r>
                </w:p>
              </w:tc>
              <w:tc>
                <w:tcPr>
                  <w:tcW w:w="1148" w:type="dxa"/>
                  <w:vAlign w:val="center"/>
                </w:tcPr>
                <w:p>
                  <w:pPr>
                    <w:snapToGrid w:val="0"/>
                    <w:spacing w:line="280" w:lineRule="exact"/>
                    <w:jc w:val="center"/>
                    <w:rPr>
                      <w:color w:val="auto"/>
                      <w:szCs w:val="21"/>
                    </w:rPr>
                  </w:pPr>
                  <w:r>
                    <w:rPr>
                      <w:rFonts w:hint="eastAsia"/>
                      <w:color w:val="auto"/>
                      <w:szCs w:val="21"/>
                    </w:rPr>
                    <w:t>75.21</w:t>
                  </w:r>
                </w:p>
              </w:tc>
              <w:tc>
                <w:tcPr>
                  <w:tcW w:w="2646" w:type="dxa"/>
                  <w:vAlign w:val="center"/>
                </w:tcPr>
                <w:p>
                  <w:pPr>
                    <w:snapToGrid w:val="0"/>
                    <w:spacing w:line="280" w:lineRule="exact"/>
                    <w:jc w:val="center"/>
                    <w:rPr>
                      <w:color w:val="auto"/>
                      <w:szCs w:val="21"/>
                    </w:rPr>
                  </w:pPr>
                  <w:r>
                    <w:rPr>
                      <w:rFonts w:hint="eastAsia"/>
                      <w:color w:val="auto"/>
                      <w:szCs w:val="21"/>
                    </w:rPr>
                    <w:t>含油污泥进入污水污泥罐暂存，定期委托有资质单位外运处置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76" w:hRule="atLeast"/>
                <w:jc w:val="center"/>
              </w:trPr>
              <w:tc>
                <w:tcPr>
                  <w:tcW w:w="841" w:type="dxa"/>
                  <w:vMerge w:val="continue"/>
                  <w:vAlign w:val="center"/>
                </w:tcPr>
                <w:p>
                  <w:pPr>
                    <w:snapToGrid w:val="0"/>
                    <w:spacing w:line="280" w:lineRule="exact"/>
                    <w:jc w:val="center"/>
                    <w:rPr>
                      <w:color w:val="auto"/>
                      <w:szCs w:val="21"/>
                    </w:rPr>
                  </w:pPr>
                </w:p>
              </w:tc>
              <w:tc>
                <w:tcPr>
                  <w:tcW w:w="615" w:type="dxa"/>
                  <w:vMerge w:val="restart"/>
                  <w:vAlign w:val="center"/>
                </w:tcPr>
                <w:p>
                  <w:pPr>
                    <w:snapToGrid w:val="0"/>
                    <w:spacing w:line="280" w:lineRule="exact"/>
                    <w:jc w:val="center"/>
                    <w:rPr>
                      <w:color w:val="auto"/>
                      <w:szCs w:val="21"/>
                    </w:rPr>
                  </w:pPr>
                  <w:r>
                    <w:rPr>
                      <w:rFonts w:hint="eastAsia"/>
                      <w:color w:val="auto"/>
                      <w:szCs w:val="21"/>
                    </w:rPr>
                    <w:t>废滤料</w:t>
                  </w:r>
                </w:p>
              </w:tc>
              <w:tc>
                <w:tcPr>
                  <w:tcW w:w="1185" w:type="dxa"/>
                  <w:vAlign w:val="center"/>
                </w:tcPr>
                <w:p>
                  <w:pPr>
                    <w:snapToGrid w:val="0"/>
                    <w:spacing w:line="280" w:lineRule="exact"/>
                    <w:jc w:val="center"/>
                    <w:rPr>
                      <w:color w:val="auto"/>
                      <w:szCs w:val="21"/>
                    </w:rPr>
                  </w:pPr>
                  <w:r>
                    <w:rPr>
                      <w:rFonts w:hint="eastAsia"/>
                      <w:color w:val="auto"/>
                      <w:szCs w:val="21"/>
                    </w:rPr>
                    <w:t>核桃壳滤料</w:t>
                  </w:r>
                </w:p>
              </w:tc>
              <w:tc>
                <w:tcPr>
                  <w:tcW w:w="1497" w:type="dxa"/>
                  <w:vMerge w:val="restart"/>
                  <w:vAlign w:val="center"/>
                </w:tcPr>
                <w:p>
                  <w:pPr>
                    <w:snapToGrid w:val="0"/>
                    <w:spacing w:line="280" w:lineRule="exact"/>
                    <w:jc w:val="center"/>
                    <w:rPr>
                      <w:color w:val="auto"/>
                      <w:szCs w:val="21"/>
                    </w:rPr>
                  </w:pPr>
                  <w:r>
                    <w:rPr>
                      <w:rFonts w:hint="eastAsia"/>
                      <w:color w:val="auto"/>
                      <w:szCs w:val="21"/>
                    </w:rPr>
                    <w:t>危险废物（900-041-49）</w:t>
                  </w:r>
                </w:p>
              </w:tc>
              <w:tc>
                <w:tcPr>
                  <w:tcW w:w="1148" w:type="dxa"/>
                  <w:vAlign w:val="center"/>
                </w:tcPr>
                <w:p>
                  <w:pPr>
                    <w:snapToGrid w:val="0"/>
                    <w:spacing w:line="280" w:lineRule="exact"/>
                    <w:jc w:val="center"/>
                    <w:rPr>
                      <w:color w:val="auto"/>
                      <w:szCs w:val="21"/>
                    </w:rPr>
                  </w:pPr>
                  <w:r>
                    <w:rPr>
                      <w:rFonts w:hint="eastAsia"/>
                      <w:color w:val="auto"/>
                      <w:szCs w:val="21"/>
                    </w:rPr>
                    <w:t>0.3</w:t>
                  </w:r>
                </w:p>
              </w:tc>
              <w:tc>
                <w:tcPr>
                  <w:tcW w:w="2646" w:type="dxa"/>
                  <w:vMerge w:val="restart"/>
                  <w:vAlign w:val="center"/>
                </w:tcPr>
                <w:p>
                  <w:pPr>
                    <w:snapToGrid w:val="0"/>
                    <w:spacing w:line="280" w:lineRule="exact"/>
                    <w:jc w:val="center"/>
                    <w:rPr>
                      <w:color w:val="auto"/>
                      <w:szCs w:val="21"/>
                    </w:rPr>
                  </w:pPr>
                  <w:r>
                    <w:rPr>
                      <w:rFonts w:hint="eastAsia"/>
                      <w:color w:val="auto"/>
                      <w:szCs w:val="21"/>
                    </w:rPr>
                    <w:t>废滤料由设备厂家更换后回收，委托有资质单位处置，不在站内存放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76" w:hRule="atLeast"/>
                <w:jc w:val="center"/>
              </w:trPr>
              <w:tc>
                <w:tcPr>
                  <w:tcW w:w="841" w:type="dxa"/>
                  <w:vMerge w:val="continue"/>
                  <w:vAlign w:val="center"/>
                </w:tcPr>
                <w:p>
                  <w:pPr>
                    <w:snapToGrid w:val="0"/>
                    <w:spacing w:line="280" w:lineRule="exact"/>
                    <w:jc w:val="center"/>
                    <w:rPr>
                      <w:color w:val="auto"/>
                    </w:rPr>
                  </w:pPr>
                </w:p>
              </w:tc>
              <w:tc>
                <w:tcPr>
                  <w:tcW w:w="615" w:type="dxa"/>
                  <w:vMerge w:val="continue"/>
                  <w:vAlign w:val="center"/>
                </w:tcPr>
                <w:p>
                  <w:pPr>
                    <w:snapToGrid w:val="0"/>
                    <w:spacing w:line="280" w:lineRule="exact"/>
                    <w:jc w:val="center"/>
                    <w:rPr>
                      <w:color w:val="auto"/>
                      <w:szCs w:val="21"/>
                    </w:rPr>
                  </w:pPr>
                </w:p>
              </w:tc>
              <w:tc>
                <w:tcPr>
                  <w:tcW w:w="1185" w:type="dxa"/>
                  <w:vAlign w:val="center"/>
                </w:tcPr>
                <w:p>
                  <w:pPr>
                    <w:snapToGrid w:val="0"/>
                    <w:spacing w:line="280" w:lineRule="exact"/>
                    <w:jc w:val="center"/>
                    <w:rPr>
                      <w:color w:val="auto"/>
                      <w:szCs w:val="21"/>
                    </w:rPr>
                  </w:pPr>
                  <w:r>
                    <w:rPr>
                      <w:rFonts w:hint="eastAsia"/>
                      <w:color w:val="auto"/>
                      <w:szCs w:val="21"/>
                    </w:rPr>
                    <w:t>精细滤料</w:t>
                  </w:r>
                </w:p>
              </w:tc>
              <w:tc>
                <w:tcPr>
                  <w:tcW w:w="1497" w:type="dxa"/>
                  <w:vMerge w:val="continue"/>
                  <w:vAlign w:val="center"/>
                </w:tcPr>
                <w:p>
                  <w:pPr>
                    <w:snapToGrid w:val="0"/>
                    <w:spacing w:line="280" w:lineRule="exact"/>
                    <w:jc w:val="center"/>
                    <w:rPr>
                      <w:color w:val="auto"/>
                      <w:szCs w:val="21"/>
                    </w:rPr>
                  </w:pPr>
                </w:p>
              </w:tc>
              <w:tc>
                <w:tcPr>
                  <w:tcW w:w="1148" w:type="dxa"/>
                  <w:vAlign w:val="center"/>
                </w:tcPr>
                <w:p>
                  <w:pPr>
                    <w:snapToGrid w:val="0"/>
                    <w:spacing w:line="280" w:lineRule="exact"/>
                    <w:jc w:val="center"/>
                    <w:rPr>
                      <w:color w:val="auto"/>
                      <w:szCs w:val="21"/>
                    </w:rPr>
                  </w:pPr>
                  <w:r>
                    <w:rPr>
                      <w:rFonts w:hint="eastAsia"/>
                      <w:color w:val="auto"/>
                      <w:szCs w:val="21"/>
                    </w:rPr>
                    <w:t>2.08</w:t>
                  </w:r>
                </w:p>
              </w:tc>
              <w:tc>
                <w:tcPr>
                  <w:tcW w:w="2646" w:type="dxa"/>
                  <w:vMerge w:val="continue"/>
                  <w:vAlign w:val="center"/>
                </w:tcPr>
                <w:p>
                  <w:pPr>
                    <w:snapToGrid w:val="0"/>
                    <w:spacing w:line="28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76" w:hRule="atLeast"/>
                <w:jc w:val="center"/>
              </w:trPr>
              <w:tc>
                <w:tcPr>
                  <w:tcW w:w="841" w:type="dxa"/>
                  <w:vMerge w:val="continue"/>
                  <w:vAlign w:val="center"/>
                </w:tcPr>
                <w:p>
                  <w:pPr>
                    <w:snapToGrid w:val="0"/>
                    <w:spacing w:line="280" w:lineRule="exact"/>
                    <w:jc w:val="center"/>
                    <w:rPr>
                      <w:color w:val="auto"/>
                      <w:szCs w:val="21"/>
                    </w:rPr>
                  </w:pPr>
                </w:p>
              </w:tc>
              <w:tc>
                <w:tcPr>
                  <w:tcW w:w="615" w:type="dxa"/>
                  <w:vMerge w:val="continue"/>
                  <w:vAlign w:val="center"/>
                </w:tcPr>
                <w:p>
                  <w:pPr>
                    <w:snapToGrid w:val="0"/>
                    <w:spacing w:line="280" w:lineRule="exact"/>
                    <w:jc w:val="center"/>
                    <w:rPr>
                      <w:color w:val="auto"/>
                      <w:szCs w:val="21"/>
                    </w:rPr>
                  </w:pPr>
                </w:p>
              </w:tc>
              <w:tc>
                <w:tcPr>
                  <w:tcW w:w="1185" w:type="dxa"/>
                  <w:vAlign w:val="center"/>
                </w:tcPr>
                <w:p>
                  <w:pPr>
                    <w:snapToGrid w:val="0"/>
                    <w:spacing w:line="280" w:lineRule="exact"/>
                    <w:jc w:val="center"/>
                    <w:rPr>
                      <w:color w:val="auto"/>
                      <w:szCs w:val="21"/>
                    </w:rPr>
                  </w:pPr>
                  <w:r>
                    <w:rPr>
                      <w:rFonts w:hint="eastAsia"/>
                      <w:color w:val="auto"/>
                      <w:szCs w:val="21"/>
                    </w:rPr>
                    <w:t>高精度滤芯</w:t>
                  </w:r>
                </w:p>
              </w:tc>
              <w:tc>
                <w:tcPr>
                  <w:tcW w:w="1497" w:type="dxa"/>
                  <w:vMerge w:val="continue"/>
                  <w:vAlign w:val="center"/>
                </w:tcPr>
                <w:p>
                  <w:pPr>
                    <w:snapToGrid w:val="0"/>
                    <w:spacing w:line="280" w:lineRule="exact"/>
                    <w:jc w:val="center"/>
                    <w:rPr>
                      <w:color w:val="auto"/>
                      <w:szCs w:val="21"/>
                    </w:rPr>
                  </w:pPr>
                </w:p>
              </w:tc>
              <w:tc>
                <w:tcPr>
                  <w:tcW w:w="1148" w:type="dxa"/>
                  <w:vAlign w:val="center"/>
                </w:tcPr>
                <w:p>
                  <w:pPr>
                    <w:snapToGrid w:val="0"/>
                    <w:spacing w:line="280" w:lineRule="exact"/>
                    <w:jc w:val="center"/>
                    <w:rPr>
                      <w:color w:val="auto"/>
                      <w:szCs w:val="21"/>
                    </w:rPr>
                  </w:pPr>
                  <w:r>
                    <w:rPr>
                      <w:rFonts w:hint="eastAsia"/>
                      <w:color w:val="auto"/>
                      <w:szCs w:val="21"/>
                    </w:rPr>
                    <w:t>0.24</w:t>
                  </w:r>
                </w:p>
              </w:tc>
              <w:tc>
                <w:tcPr>
                  <w:tcW w:w="2646" w:type="dxa"/>
                  <w:vMerge w:val="continue"/>
                  <w:vAlign w:val="center"/>
                </w:tcPr>
                <w:p>
                  <w:pPr>
                    <w:snapToGrid w:val="0"/>
                    <w:spacing w:line="28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76" w:hRule="atLeast"/>
                <w:jc w:val="center"/>
              </w:trPr>
              <w:tc>
                <w:tcPr>
                  <w:tcW w:w="841" w:type="dxa"/>
                  <w:vMerge w:val="restart"/>
                  <w:vAlign w:val="center"/>
                </w:tcPr>
                <w:p>
                  <w:pPr>
                    <w:snapToGrid w:val="0"/>
                    <w:spacing w:line="280" w:lineRule="exact"/>
                    <w:jc w:val="center"/>
                    <w:rPr>
                      <w:color w:val="auto"/>
                      <w:szCs w:val="21"/>
                    </w:rPr>
                  </w:pPr>
                  <w:r>
                    <w:rPr>
                      <w:rFonts w:hint="eastAsia"/>
                      <w:color w:val="auto"/>
                      <w:szCs w:val="21"/>
                    </w:rPr>
                    <w:t>3270站</w:t>
                  </w:r>
                </w:p>
              </w:tc>
              <w:tc>
                <w:tcPr>
                  <w:tcW w:w="1800" w:type="dxa"/>
                  <w:gridSpan w:val="2"/>
                  <w:vAlign w:val="center"/>
                </w:tcPr>
                <w:p>
                  <w:pPr>
                    <w:snapToGrid w:val="0"/>
                    <w:spacing w:line="280" w:lineRule="exact"/>
                    <w:jc w:val="center"/>
                    <w:rPr>
                      <w:color w:val="auto"/>
                      <w:szCs w:val="21"/>
                    </w:rPr>
                  </w:pPr>
                  <w:r>
                    <w:rPr>
                      <w:rFonts w:hint="eastAsia"/>
                      <w:color w:val="auto"/>
                      <w:szCs w:val="21"/>
                    </w:rPr>
                    <w:t>含油污泥</w:t>
                  </w:r>
                </w:p>
              </w:tc>
              <w:tc>
                <w:tcPr>
                  <w:tcW w:w="1497" w:type="dxa"/>
                  <w:vAlign w:val="center"/>
                </w:tcPr>
                <w:p>
                  <w:pPr>
                    <w:snapToGrid w:val="0"/>
                    <w:spacing w:line="280" w:lineRule="exact"/>
                    <w:jc w:val="center"/>
                    <w:rPr>
                      <w:color w:val="auto"/>
                      <w:szCs w:val="21"/>
                    </w:rPr>
                  </w:pPr>
                  <w:r>
                    <w:rPr>
                      <w:rFonts w:hint="eastAsia"/>
                      <w:color w:val="auto"/>
                      <w:szCs w:val="21"/>
                    </w:rPr>
                    <w:t>危险废物（900-210-08）</w:t>
                  </w:r>
                </w:p>
              </w:tc>
              <w:tc>
                <w:tcPr>
                  <w:tcW w:w="1148" w:type="dxa"/>
                  <w:vAlign w:val="center"/>
                </w:tcPr>
                <w:p>
                  <w:pPr>
                    <w:snapToGrid w:val="0"/>
                    <w:spacing w:line="280" w:lineRule="exact"/>
                    <w:jc w:val="center"/>
                    <w:rPr>
                      <w:color w:val="auto"/>
                      <w:szCs w:val="21"/>
                    </w:rPr>
                  </w:pPr>
                  <w:r>
                    <w:rPr>
                      <w:rFonts w:hint="eastAsia"/>
                      <w:color w:val="auto"/>
                      <w:szCs w:val="21"/>
                    </w:rPr>
                    <w:t>75.21</w:t>
                  </w:r>
                </w:p>
              </w:tc>
              <w:tc>
                <w:tcPr>
                  <w:tcW w:w="2646" w:type="dxa"/>
                  <w:vAlign w:val="center"/>
                </w:tcPr>
                <w:p>
                  <w:pPr>
                    <w:snapToGrid w:val="0"/>
                    <w:spacing w:line="280" w:lineRule="exact"/>
                    <w:jc w:val="center"/>
                    <w:rPr>
                      <w:color w:val="auto"/>
                      <w:szCs w:val="21"/>
                    </w:rPr>
                  </w:pPr>
                  <w:r>
                    <w:rPr>
                      <w:rFonts w:hint="eastAsia"/>
                      <w:color w:val="auto"/>
                      <w:szCs w:val="21"/>
                    </w:rPr>
                    <w:t>含油污泥进入污水污泥罐暂存，定期委托有资质单位外运处置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76" w:hRule="atLeast"/>
                <w:jc w:val="center"/>
              </w:trPr>
              <w:tc>
                <w:tcPr>
                  <w:tcW w:w="841" w:type="dxa"/>
                  <w:vMerge w:val="continue"/>
                  <w:vAlign w:val="center"/>
                </w:tcPr>
                <w:p>
                  <w:pPr>
                    <w:snapToGrid w:val="0"/>
                    <w:spacing w:line="280" w:lineRule="exact"/>
                    <w:jc w:val="center"/>
                    <w:rPr>
                      <w:color w:val="auto"/>
                      <w:szCs w:val="21"/>
                    </w:rPr>
                  </w:pPr>
                </w:p>
              </w:tc>
              <w:tc>
                <w:tcPr>
                  <w:tcW w:w="615" w:type="dxa"/>
                  <w:vMerge w:val="restart"/>
                  <w:vAlign w:val="center"/>
                </w:tcPr>
                <w:p>
                  <w:pPr>
                    <w:snapToGrid w:val="0"/>
                    <w:spacing w:line="280" w:lineRule="exact"/>
                    <w:jc w:val="center"/>
                    <w:rPr>
                      <w:color w:val="auto"/>
                      <w:szCs w:val="21"/>
                    </w:rPr>
                  </w:pPr>
                  <w:r>
                    <w:rPr>
                      <w:rFonts w:hint="eastAsia"/>
                      <w:color w:val="auto"/>
                      <w:szCs w:val="21"/>
                    </w:rPr>
                    <w:t>废滤料</w:t>
                  </w:r>
                </w:p>
              </w:tc>
              <w:tc>
                <w:tcPr>
                  <w:tcW w:w="1185" w:type="dxa"/>
                  <w:vAlign w:val="center"/>
                </w:tcPr>
                <w:p>
                  <w:pPr>
                    <w:snapToGrid w:val="0"/>
                    <w:spacing w:line="280" w:lineRule="exact"/>
                    <w:jc w:val="center"/>
                    <w:rPr>
                      <w:color w:val="auto"/>
                      <w:szCs w:val="21"/>
                    </w:rPr>
                  </w:pPr>
                  <w:r>
                    <w:rPr>
                      <w:rFonts w:hint="eastAsia"/>
                      <w:color w:val="auto"/>
                      <w:szCs w:val="21"/>
                    </w:rPr>
                    <w:t>核桃壳滤料</w:t>
                  </w:r>
                </w:p>
              </w:tc>
              <w:tc>
                <w:tcPr>
                  <w:tcW w:w="1497" w:type="dxa"/>
                  <w:vMerge w:val="restart"/>
                  <w:vAlign w:val="center"/>
                </w:tcPr>
                <w:p>
                  <w:pPr>
                    <w:snapToGrid w:val="0"/>
                    <w:spacing w:line="280" w:lineRule="exact"/>
                    <w:jc w:val="center"/>
                    <w:rPr>
                      <w:color w:val="auto"/>
                      <w:szCs w:val="21"/>
                    </w:rPr>
                  </w:pPr>
                  <w:r>
                    <w:rPr>
                      <w:rFonts w:hint="eastAsia"/>
                      <w:color w:val="auto"/>
                      <w:szCs w:val="21"/>
                    </w:rPr>
                    <w:t>危险废物（900-041-49）</w:t>
                  </w:r>
                </w:p>
              </w:tc>
              <w:tc>
                <w:tcPr>
                  <w:tcW w:w="1148" w:type="dxa"/>
                  <w:vAlign w:val="center"/>
                </w:tcPr>
                <w:p>
                  <w:pPr>
                    <w:snapToGrid w:val="0"/>
                    <w:spacing w:line="280" w:lineRule="exact"/>
                    <w:jc w:val="center"/>
                    <w:rPr>
                      <w:color w:val="auto"/>
                      <w:szCs w:val="21"/>
                    </w:rPr>
                  </w:pPr>
                  <w:r>
                    <w:rPr>
                      <w:rFonts w:hint="eastAsia"/>
                      <w:color w:val="auto"/>
                      <w:szCs w:val="21"/>
                    </w:rPr>
                    <w:t>0.3</w:t>
                  </w:r>
                </w:p>
              </w:tc>
              <w:tc>
                <w:tcPr>
                  <w:tcW w:w="2646" w:type="dxa"/>
                  <w:vMerge w:val="restart"/>
                  <w:vAlign w:val="center"/>
                </w:tcPr>
                <w:p>
                  <w:pPr>
                    <w:snapToGrid w:val="0"/>
                    <w:spacing w:line="280" w:lineRule="exact"/>
                    <w:jc w:val="center"/>
                    <w:rPr>
                      <w:color w:val="auto"/>
                      <w:szCs w:val="21"/>
                    </w:rPr>
                  </w:pPr>
                  <w:r>
                    <w:rPr>
                      <w:rFonts w:hint="eastAsia"/>
                      <w:color w:val="auto"/>
                      <w:szCs w:val="21"/>
                    </w:rPr>
                    <w:t>废滤料由设备厂家更换后回收，委托有资质单位处置，不在站内存放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76" w:hRule="atLeast"/>
                <w:jc w:val="center"/>
              </w:trPr>
              <w:tc>
                <w:tcPr>
                  <w:tcW w:w="841" w:type="dxa"/>
                  <w:vMerge w:val="continue"/>
                  <w:vAlign w:val="center"/>
                </w:tcPr>
                <w:p>
                  <w:pPr>
                    <w:snapToGrid w:val="0"/>
                    <w:spacing w:line="280" w:lineRule="exact"/>
                    <w:jc w:val="center"/>
                    <w:rPr>
                      <w:color w:val="auto"/>
                    </w:rPr>
                  </w:pPr>
                </w:p>
              </w:tc>
              <w:tc>
                <w:tcPr>
                  <w:tcW w:w="615" w:type="dxa"/>
                  <w:vMerge w:val="continue"/>
                  <w:vAlign w:val="center"/>
                </w:tcPr>
                <w:p>
                  <w:pPr>
                    <w:snapToGrid w:val="0"/>
                    <w:spacing w:line="280" w:lineRule="exact"/>
                    <w:jc w:val="center"/>
                    <w:rPr>
                      <w:color w:val="auto"/>
                    </w:rPr>
                  </w:pPr>
                </w:p>
              </w:tc>
              <w:tc>
                <w:tcPr>
                  <w:tcW w:w="1185" w:type="dxa"/>
                  <w:vAlign w:val="center"/>
                </w:tcPr>
                <w:p>
                  <w:pPr>
                    <w:snapToGrid w:val="0"/>
                    <w:spacing w:line="280" w:lineRule="exact"/>
                    <w:jc w:val="center"/>
                    <w:rPr>
                      <w:color w:val="auto"/>
                      <w:szCs w:val="21"/>
                    </w:rPr>
                  </w:pPr>
                  <w:r>
                    <w:rPr>
                      <w:rFonts w:hint="eastAsia"/>
                      <w:color w:val="auto"/>
                      <w:szCs w:val="21"/>
                    </w:rPr>
                    <w:t>精细滤料</w:t>
                  </w:r>
                </w:p>
              </w:tc>
              <w:tc>
                <w:tcPr>
                  <w:tcW w:w="1497" w:type="dxa"/>
                  <w:vMerge w:val="continue"/>
                  <w:vAlign w:val="center"/>
                </w:tcPr>
                <w:p>
                  <w:pPr>
                    <w:snapToGrid w:val="0"/>
                    <w:spacing w:line="280" w:lineRule="exact"/>
                    <w:jc w:val="center"/>
                    <w:rPr>
                      <w:color w:val="auto"/>
                    </w:rPr>
                  </w:pPr>
                </w:p>
              </w:tc>
              <w:tc>
                <w:tcPr>
                  <w:tcW w:w="1148" w:type="dxa"/>
                  <w:vAlign w:val="center"/>
                </w:tcPr>
                <w:p>
                  <w:pPr>
                    <w:snapToGrid w:val="0"/>
                    <w:spacing w:line="280" w:lineRule="exact"/>
                    <w:jc w:val="center"/>
                    <w:rPr>
                      <w:color w:val="auto"/>
                      <w:szCs w:val="21"/>
                    </w:rPr>
                  </w:pPr>
                  <w:r>
                    <w:rPr>
                      <w:rFonts w:hint="eastAsia"/>
                      <w:color w:val="auto"/>
                      <w:szCs w:val="21"/>
                    </w:rPr>
                    <w:t>2.08</w:t>
                  </w:r>
                </w:p>
              </w:tc>
              <w:tc>
                <w:tcPr>
                  <w:tcW w:w="2646" w:type="dxa"/>
                  <w:vMerge w:val="continue"/>
                  <w:vAlign w:val="center"/>
                </w:tcPr>
                <w:p>
                  <w:pPr>
                    <w:snapToGrid w:val="0"/>
                    <w:spacing w:line="28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76" w:hRule="atLeast"/>
                <w:jc w:val="center"/>
              </w:trPr>
              <w:tc>
                <w:tcPr>
                  <w:tcW w:w="841" w:type="dxa"/>
                  <w:vMerge w:val="continue"/>
                  <w:vAlign w:val="center"/>
                </w:tcPr>
                <w:p>
                  <w:pPr>
                    <w:snapToGrid w:val="0"/>
                    <w:spacing w:line="280" w:lineRule="exact"/>
                    <w:jc w:val="center"/>
                    <w:rPr>
                      <w:color w:val="auto"/>
                      <w:szCs w:val="21"/>
                    </w:rPr>
                  </w:pPr>
                </w:p>
              </w:tc>
              <w:tc>
                <w:tcPr>
                  <w:tcW w:w="615" w:type="dxa"/>
                  <w:vMerge w:val="continue"/>
                  <w:vAlign w:val="center"/>
                </w:tcPr>
                <w:p>
                  <w:pPr>
                    <w:snapToGrid w:val="0"/>
                    <w:spacing w:line="280" w:lineRule="exact"/>
                    <w:jc w:val="center"/>
                    <w:rPr>
                      <w:color w:val="auto"/>
                      <w:szCs w:val="21"/>
                    </w:rPr>
                  </w:pPr>
                </w:p>
              </w:tc>
              <w:tc>
                <w:tcPr>
                  <w:tcW w:w="1185" w:type="dxa"/>
                  <w:vAlign w:val="center"/>
                </w:tcPr>
                <w:p>
                  <w:pPr>
                    <w:snapToGrid w:val="0"/>
                    <w:spacing w:line="280" w:lineRule="exact"/>
                    <w:jc w:val="center"/>
                    <w:rPr>
                      <w:color w:val="auto"/>
                      <w:szCs w:val="21"/>
                    </w:rPr>
                  </w:pPr>
                  <w:r>
                    <w:rPr>
                      <w:rFonts w:hint="eastAsia"/>
                      <w:color w:val="auto"/>
                      <w:szCs w:val="21"/>
                    </w:rPr>
                    <w:t>高精度滤芯</w:t>
                  </w:r>
                </w:p>
              </w:tc>
              <w:tc>
                <w:tcPr>
                  <w:tcW w:w="1497" w:type="dxa"/>
                  <w:vMerge w:val="continue"/>
                  <w:vAlign w:val="center"/>
                </w:tcPr>
                <w:p>
                  <w:pPr>
                    <w:snapToGrid w:val="0"/>
                    <w:spacing w:line="280" w:lineRule="exact"/>
                    <w:jc w:val="center"/>
                    <w:rPr>
                      <w:color w:val="auto"/>
                      <w:szCs w:val="21"/>
                    </w:rPr>
                  </w:pPr>
                </w:p>
              </w:tc>
              <w:tc>
                <w:tcPr>
                  <w:tcW w:w="1148" w:type="dxa"/>
                  <w:vAlign w:val="center"/>
                </w:tcPr>
                <w:p>
                  <w:pPr>
                    <w:snapToGrid w:val="0"/>
                    <w:spacing w:line="280" w:lineRule="exact"/>
                    <w:jc w:val="center"/>
                    <w:rPr>
                      <w:color w:val="auto"/>
                      <w:szCs w:val="21"/>
                    </w:rPr>
                  </w:pPr>
                  <w:r>
                    <w:rPr>
                      <w:rFonts w:hint="eastAsia"/>
                      <w:color w:val="auto"/>
                      <w:szCs w:val="21"/>
                    </w:rPr>
                    <w:t>0.24</w:t>
                  </w:r>
                </w:p>
              </w:tc>
              <w:tc>
                <w:tcPr>
                  <w:tcW w:w="2646" w:type="dxa"/>
                  <w:vMerge w:val="continue"/>
                  <w:vAlign w:val="center"/>
                </w:tcPr>
                <w:p>
                  <w:pPr>
                    <w:snapToGrid w:val="0"/>
                    <w:spacing w:line="28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76" w:hRule="atLeast"/>
                <w:jc w:val="center"/>
              </w:trPr>
              <w:tc>
                <w:tcPr>
                  <w:tcW w:w="841" w:type="dxa"/>
                  <w:vMerge w:val="restart"/>
                  <w:vAlign w:val="center"/>
                </w:tcPr>
                <w:p>
                  <w:pPr>
                    <w:snapToGrid w:val="0"/>
                    <w:spacing w:line="280" w:lineRule="exact"/>
                    <w:jc w:val="center"/>
                    <w:rPr>
                      <w:color w:val="auto"/>
                      <w:szCs w:val="21"/>
                    </w:rPr>
                  </w:pPr>
                  <w:r>
                    <w:rPr>
                      <w:rFonts w:hint="eastAsia"/>
                      <w:color w:val="auto"/>
                      <w:szCs w:val="21"/>
                    </w:rPr>
                    <w:t>4926-4站</w:t>
                  </w:r>
                </w:p>
              </w:tc>
              <w:tc>
                <w:tcPr>
                  <w:tcW w:w="1800" w:type="dxa"/>
                  <w:gridSpan w:val="2"/>
                  <w:vAlign w:val="center"/>
                </w:tcPr>
                <w:p>
                  <w:pPr>
                    <w:snapToGrid w:val="0"/>
                    <w:spacing w:line="280" w:lineRule="exact"/>
                    <w:jc w:val="center"/>
                    <w:rPr>
                      <w:color w:val="auto"/>
                      <w:szCs w:val="21"/>
                    </w:rPr>
                  </w:pPr>
                  <w:r>
                    <w:rPr>
                      <w:rFonts w:hint="eastAsia"/>
                      <w:color w:val="auto"/>
                      <w:szCs w:val="21"/>
                    </w:rPr>
                    <w:t>含油污泥</w:t>
                  </w:r>
                </w:p>
              </w:tc>
              <w:tc>
                <w:tcPr>
                  <w:tcW w:w="1497" w:type="dxa"/>
                  <w:vAlign w:val="center"/>
                </w:tcPr>
                <w:p>
                  <w:pPr>
                    <w:snapToGrid w:val="0"/>
                    <w:spacing w:line="280" w:lineRule="exact"/>
                    <w:jc w:val="center"/>
                    <w:rPr>
                      <w:color w:val="auto"/>
                      <w:szCs w:val="21"/>
                    </w:rPr>
                  </w:pPr>
                  <w:r>
                    <w:rPr>
                      <w:rFonts w:hint="eastAsia"/>
                      <w:color w:val="auto"/>
                      <w:szCs w:val="21"/>
                    </w:rPr>
                    <w:t>危险废物（900-210-08）</w:t>
                  </w:r>
                </w:p>
              </w:tc>
              <w:tc>
                <w:tcPr>
                  <w:tcW w:w="1148" w:type="dxa"/>
                  <w:vAlign w:val="center"/>
                </w:tcPr>
                <w:p>
                  <w:pPr>
                    <w:snapToGrid w:val="0"/>
                    <w:spacing w:line="280" w:lineRule="exact"/>
                    <w:jc w:val="center"/>
                    <w:rPr>
                      <w:color w:val="auto"/>
                      <w:szCs w:val="21"/>
                    </w:rPr>
                  </w:pPr>
                  <w:r>
                    <w:rPr>
                      <w:rFonts w:hint="eastAsia"/>
                      <w:color w:val="auto"/>
                      <w:szCs w:val="21"/>
                    </w:rPr>
                    <w:t>75.21</w:t>
                  </w:r>
                </w:p>
              </w:tc>
              <w:tc>
                <w:tcPr>
                  <w:tcW w:w="2646" w:type="dxa"/>
                  <w:vAlign w:val="center"/>
                </w:tcPr>
                <w:p>
                  <w:pPr>
                    <w:snapToGrid w:val="0"/>
                    <w:spacing w:line="280" w:lineRule="exact"/>
                    <w:jc w:val="center"/>
                    <w:rPr>
                      <w:color w:val="auto"/>
                      <w:szCs w:val="21"/>
                    </w:rPr>
                  </w:pPr>
                  <w:r>
                    <w:rPr>
                      <w:rFonts w:hint="eastAsia"/>
                      <w:color w:val="auto"/>
                      <w:szCs w:val="21"/>
                    </w:rPr>
                    <w:t>含油污泥进入污水污泥罐暂存，定期委托有资质单位外运处置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76" w:hRule="atLeast"/>
                <w:jc w:val="center"/>
              </w:trPr>
              <w:tc>
                <w:tcPr>
                  <w:tcW w:w="841" w:type="dxa"/>
                  <w:vMerge w:val="continue"/>
                  <w:vAlign w:val="center"/>
                </w:tcPr>
                <w:p>
                  <w:pPr>
                    <w:snapToGrid w:val="0"/>
                    <w:spacing w:line="280" w:lineRule="exact"/>
                    <w:jc w:val="center"/>
                    <w:rPr>
                      <w:color w:val="auto"/>
                      <w:szCs w:val="21"/>
                    </w:rPr>
                  </w:pPr>
                </w:p>
              </w:tc>
              <w:tc>
                <w:tcPr>
                  <w:tcW w:w="615" w:type="dxa"/>
                  <w:vMerge w:val="restart"/>
                  <w:vAlign w:val="center"/>
                </w:tcPr>
                <w:p>
                  <w:pPr>
                    <w:snapToGrid w:val="0"/>
                    <w:spacing w:line="280" w:lineRule="exact"/>
                    <w:jc w:val="center"/>
                    <w:rPr>
                      <w:color w:val="auto"/>
                      <w:szCs w:val="21"/>
                    </w:rPr>
                  </w:pPr>
                  <w:r>
                    <w:rPr>
                      <w:rFonts w:hint="eastAsia"/>
                      <w:color w:val="auto"/>
                      <w:szCs w:val="21"/>
                    </w:rPr>
                    <w:t>废滤料</w:t>
                  </w:r>
                </w:p>
              </w:tc>
              <w:tc>
                <w:tcPr>
                  <w:tcW w:w="1185" w:type="dxa"/>
                  <w:vAlign w:val="center"/>
                </w:tcPr>
                <w:p>
                  <w:pPr>
                    <w:snapToGrid w:val="0"/>
                    <w:spacing w:line="280" w:lineRule="exact"/>
                    <w:jc w:val="center"/>
                    <w:rPr>
                      <w:color w:val="auto"/>
                      <w:szCs w:val="21"/>
                    </w:rPr>
                  </w:pPr>
                  <w:r>
                    <w:rPr>
                      <w:rFonts w:hint="eastAsia"/>
                      <w:color w:val="auto"/>
                      <w:szCs w:val="21"/>
                    </w:rPr>
                    <w:t>核桃壳滤料</w:t>
                  </w:r>
                </w:p>
              </w:tc>
              <w:tc>
                <w:tcPr>
                  <w:tcW w:w="1497" w:type="dxa"/>
                  <w:vMerge w:val="restart"/>
                  <w:vAlign w:val="center"/>
                </w:tcPr>
                <w:p>
                  <w:pPr>
                    <w:snapToGrid w:val="0"/>
                    <w:spacing w:line="280" w:lineRule="exact"/>
                    <w:jc w:val="center"/>
                    <w:rPr>
                      <w:color w:val="auto"/>
                      <w:szCs w:val="21"/>
                    </w:rPr>
                  </w:pPr>
                  <w:r>
                    <w:rPr>
                      <w:rFonts w:hint="eastAsia"/>
                      <w:color w:val="auto"/>
                      <w:szCs w:val="21"/>
                    </w:rPr>
                    <w:t>危险废物（900-041-49）</w:t>
                  </w:r>
                </w:p>
              </w:tc>
              <w:tc>
                <w:tcPr>
                  <w:tcW w:w="1148" w:type="dxa"/>
                  <w:vAlign w:val="center"/>
                </w:tcPr>
                <w:p>
                  <w:pPr>
                    <w:snapToGrid w:val="0"/>
                    <w:spacing w:line="280" w:lineRule="exact"/>
                    <w:jc w:val="center"/>
                    <w:rPr>
                      <w:color w:val="auto"/>
                      <w:szCs w:val="21"/>
                    </w:rPr>
                  </w:pPr>
                  <w:r>
                    <w:rPr>
                      <w:rFonts w:hint="eastAsia"/>
                      <w:color w:val="auto"/>
                      <w:szCs w:val="21"/>
                    </w:rPr>
                    <w:t>0.3</w:t>
                  </w:r>
                </w:p>
              </w:tc>
              <w:tc>
                <w:tcPr>
                  <w:tcW w:w="2646" w:type="dxa"/>
                  <w:vMerge w:val="restart"/>
                  <w:vAlign w:val="center"/>
                </w:tcPr>
                <w:p>
                  <w:pPr>
                    <w:snapToGrid w:val="0"/>
                    <w:spacing w:line="280" w:lineRule="exact"/>
                    <w:jc w:val="center"/>
                    <w:rPr>
                      <w:color w:val="auto"/>
                      <w:szCs w:val="21"/>
                    </w:rPr>
                  </w:pPr>
                  <w:r>
                    <w:rPr>
                      <w:rFonts w:hint="eastAsia"/>
                      <w:color w:val="auto"/>
                      <w:szCs w:val="21"/>
                    </w:rPr>
                    <w:t>废滤料由设备厂家更换后回收，委托有资质单位处置，不在站内存放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841" w:type="dxa"/>
                  <w:vMerge w:val="continue"/>
                  <w:vAlign w:val="center"/>
                </w:tcPr>
                <w:p>
                  <w:pPr>
                    <w:snapToGrid w:val="0"/>
                    <w:spacing w:line="280" w:lineRule="exact"/>
                    <w:jc w:val="center"/>
                    <w:rPr>
                      <w:color w:val="auto"/>
                      <w:szCs w:val="21"/>
                    </w:rPr>
                  </w:pPr>
                </w:p>
              </w:tc>
              <w:tc>
                <w:tcPr>
                  <w:tcW w:w="615" w:type="dxa"/>
                  <w:vMerge w:val="continue"/>
                  <w:vAlign w:val="center"/>
                </w:tcPr>
                <w:p>
                  <w:pPr>
                    <w:snapToGrid w:val="0"/>
                    <w:spacing w:line="280" w:lineRule="exact"/>
                    <w:jc w:val="center"/>
                    <w:rPr>
                      <w:color w:val="auto"/>
                      <w:szCs w:val="21"/>
                    </w:rPr>
                  </w:pPr>
                </w:p>
              </w:tc>
              <w:tc>
                <w:tcPr>
                  <w:tcW w:w="1185" w:type="dxa"/>
                  <w:vAlign w:val="center"/>
                </w:tcPr>
                <w:p>
                  <w:pPr>
                    <w:snapToGrid w:val="0"/>
                    <w:spacing w:line="280" w:lineRule="exact"/>
                    <w:jc w:val="center"/>
                    <w:rPr>
                      <w:color w:val="auto"/>
                      <w:szCs w:val="21"/>
                    </w:rPr>
                  </w:pPr>
                  <w:r>
                    <w:rPr>
                      <w:rFonts w:hint="eastAsia"/>
                      <w:color w:val="auto"/>
                      <w:szCs w:val="21"/>
                    </w:rPr>
                    <w:t>精细滤料</w:t>
                  </w:r>
                </w:p>
              </w:tc>
              <w:tc>
                <w:tcPr>
                  <w:tcW w:w="1497" w:type="dxa"/>
                  <w:vMerge w:val="continue"/>
                  <w:vAlign w:val="center"/>
                </w:tcPr>
                <w:p>
                  <w:pPr>
                    <w:snapToGrid w:val="0"/>
                    <w:spacing w:line="280" w:lineRule="exact"/>
                    <w:jc w:val="center"/>
                    <w:rPr>
                      <w:color w:val="auto"/>
                      <w:szCs w:val="21"/>
                    </w:rPr>
                  </w:pPr>
                </w:p>
              </w:tc>
              <w:tc>
                <w:tcPr>
                  <w:tcW w:w="1148" w:type="dxa"/>
                  <w:vAlign w:val="center"/>
                </w:tcPr>
                <w:p>
                  <w:pPr>
                    <w:snapToGrid w:val="0"/>
                    <w:spacing w:line="280" w:lineRule="exact"/>
                    <w:jc w:val="center"/>
                    <w:rPr>
                      <w:color w:val="auto"/>
                      <w:szCs w:val="21"/>
                    </w:rPr>
                  </w:pPr>
                  <w:r>
                    <w:rPr>
                      <w:rFonts w:hint="eastAsia"/>
                      <w:color w:val="auto"/>
                      <w:szCs w:val="21"/>
                    </w:rPr>
                    <w:t>2.08</w:t>
                  </w:r>
                </w:p>
              </w:tc>
              <w:tc>
                <w:tcPr>
                  <w:tcW w:w="2646" w:type="dxa"/>
                  <w:vMerge w:val="continue"/>
                  <w:vAlign w:val="center"/>
                </w:tcPr>
                <w:p>
                  <w:pPr>
                    <w:snapToGrid w:val="0"/>
                    <w:spacing w:line="28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76" w:hRule="atLeast"/>
                <w:jc w:val="center"/>
              </w:trPr>
              <w:tc>
                <w:tcPr>
                  <w:tcW w:w="841" w:type="dxa"/>
                  <w:vMerge w:val="continue"/>
                  <w:vAlign w:val="center"/>
                </w:tcPr>
                <w:p>
                  <w:pPr>
                    <w:snapToGrid w:val="0"/>
                    <w:spacing w:line="280" w:lineRule="exact"/>
                    <w:jc w:val="center"/>
                    <w:rPr>
                      <w:color w:val="auto"/>
                      <w:szCs w:val="21"/>
                    </w:rPr>
                  </w:pPr>
                </w:p>
              </w:tc>
              <w:tc>
                <w:tcPr>
                  <w:tcW w:w="615" w:type="dxa"/>
                  <w:vMerge w:val="continue"/>
                  <w:vAlign w:val="center"/>
                </w:tcPr>
                <w:p>
                  <w:pPr>
                    <w:snapToGrid w:val="0"/>
                    <w:spacing w:line="280" w:lineRule="exact"/>
                    <w:jc w:val="center"/>
                    <w:rPr>
                      <w:color w:val="auto"/>
                      <w:szCs w:val="21"/>
                    </w:rPr>
                  </w:pPr>
                </w:p>
              </w:tc>
              <w:tc>
                <w:tcPr>
                  <w:tcW w:w="1185" w:type="dxa"/>
                  <w:vAlign w:val="center"/>
                </w:tcPr>
                <w:p>
                  <w:pPr>
                    <w:snapToGrid w:val="0"/>
                    <w:spacing w:line="280" w:lineRule="exact"/>
                    <w:jc w:val="center"/>
                    <w:rPr>
                      <w:color w:val="auto"/>
                      <w:szCs w:val="21"/>
                    </w:rPr>
                  </w:pPr>
                  <w:r>
                    <w:rPr>
                      <w:rFonts w:hint="eastAsia"/>
                      <w:color w:val="auto"/>
                      <w:szCs w:val="21"/>
                    </w:rPr>
                    <w:t>高精度滤芯</w:t>
                  </w:r>
                </w:p>
              </w:tc>
              <w:tc>
                <w:tcPr>
                  <w:tcW w:w="1497" w:type="dxa"/>
                  <w:vMerge w:val="continue"/>
                  <w:vAlign w:val="center"/>
                </w:tcPr>
                <w:p>
                  <w:pPr>
                    <w:snapToGrid w:val="0"/>
                    <w:spacing w:line="280" w:lineRule="exact"/>
                    <w:jc w:val="center"/>
                    <w:rPr>
                      <w:color w:val="auto"/>
                      <w:szCs w:val="21"/>
                    </w:rPr>
                  </w:pPr>
                </w:p>
              </w:tc>
              <w:tc>
                <w:tcPr>
                  <w:tcW w:w="1148" w:type="dxa"/>
                  <w:vAlign w:val="center"/>
                </w:tcPr>
                <w:p>
                  <w:pPr>
                    <w:snapToGrid w:val="0"/>
                    <w:spacing w:line="280" w:lineRule="exact"/>
                    <w:jc w:val="center"/>
                    <w:rPr>
                      <w:color w:val="auto"/>
                      <w:szCs w:val="21"/>
                    </w:rPr>
                  </w:pPr>
                  <w:r>
                    <w:rPr>
                      <w:rFonts w:hint="eastAsia"/>
                      <w:color w:val="auto"/>
                      <w:szCs w:val="21"/>
                    </w:rPr>
                    <w:t>0.24</w:t>
                  </w:r>
                </w:p>
              </w:tc>
              <w:tc>
                <w:tcPr>
                  <w:tcW w:w="2646" w:type="dxa"/>
                  <w:vMerge w:val="continue"/>
                  <w:vAlign w:val="center"/>
                </w:tcPr>
                <w:p>
                  <w:pPr>
                    <w:snapToGrid w:val="0"/>
                    <w:spacing w:line="280" w:lineRule="exact"/>
                    <w:jc w:val="center"/>
                    <w:rPr>
                      <w:color w:val="auto"/>
                      <w:szCs w:val="21"/>
                    </w:rPr>
                  </w:pPr>
                </w:p>
              </w:tc>
            </w:tr>
          </w:tbl>
          <w:p>
            <w:pPr>
              <w:widowControl/>
              <w:spacing w:line="360" w:lineRule="auto"/>
              <w:ind w:firstLine="480" w:firstLineChars="200"/>
              <w:textAlignment w:val="baseline"/>
              <w:rPr>
                <w:snapToGrid w:val="0"/>
                <w:color w:val="auto"/>
                <w:sz w:val="24"/>
              </w:rPr>
            </w:pPr>
            <w:r>
              <w:rPr>
                <w:rFonts w:hint="eastAsia"/>
                <w:snapToGrid w:val="0"/>
                <w:color w:val="auto"/>
                <w:sz w:val="24"/>
              </w:rPr>
              <w:t>⑵ 环境影响分析</w:t>
            </w:r>
          </w:p>
          <w:p>
            <w:pPr>
              <w:widowControl/>
              <w:spacing w:line="360" w:lineRule="auto"/>
              <w:ind w:firstLine="480" w:firstLineChars="200"/>
              <w:textAlignment w:val="baseline"/>
              <w:rPr>
                <w:snapToGrid w:val="0"/>
                <w:color w:val="auto"/>
                <w:sz w:val="24"/>
              </w:rPr>
            </w:pPr>
            <w:bookmarkStart w:id="1" w:name="_Hlk89787963"/>
            <w:r>
              <w:rPr>
                <w:rFonts w:hint="eastAsia"/>
                <w:snapToGrid w:val="0"/>
                <w:color w:val="auto"/>
                <w:sz w:val="24"/>
              </w:rPr>
              <w:t>环评</w:t>
            </w:r>
            <w:r>
              <w:rPr>
                <w:snapToGrid w:val="0"/>
                <w:color w:val="auto"/>
                <w:sz w:val="24"/>
              </w:rPr>
              <w:t>对项目产生的危险废物的收集、贮存、运输、管理提出如下要求：</w:t>
            </w:r>
          </w:p>
          <w:p>
            <w:pPr>
              <w:widowControl/>
              <w:spacing w:line="360" w:lineRule="auto"/>
              <w:ind w:firstLine="480" w:firstLineChars="200"/>
              <w:textAlignment w:val="baseline"/>
              <w:rPr>
                <w:snapToGrid w:val="0"/>
                <w:color w:val="auto"/>
                <w:sz w:val="24"/>
              </w:rPr>
            </w:pPr>
            <w:r>
              <w:rPr>
                <w:snapToGrid w:val="0"/>
                <w:color w:val="auto"/>
                <w:sz w:val="24"/>
              </w:rPr>
              <w:t>①应根据收集设备、转运车辆以及现场人员等实际情况确定相应作业区域，同时要设置作业界限标志和警示牌</w:t>
            </w:r>
            <w:r>
              <w:rPr>
                <w:rFonts w:hint="eastAsia"/>
                <w:snapToGrid w:val="0"/>
                <w:color w:val="auto"/>
                <w:sz w:val="24"/>
              </w:rPr>
              <w:t>；</w:t>
            </w:r>
          </w:p>
          <w:p>
            <w:pPr>
              <w:widowControl/>
              <w:spacing w:line="360" w:lineRule="auto"/>
              <w:ind w:firstLine="480" w:firstLineChars="200"/>
              <w:textAlignment w:val="baseline"/>
              <w:rPr>
                <w:snapToGrid w:val="0"/>
                <w:color w:val="auto"/>
                <w:sz w:val="24"/>
              </w:rPr>
            </w:pPr>
            <w:r>
              <w:rPr>
                <w:snapToGrid w:val="0"/>
                <w:color w:val="auto"/>
                <w:sz w:val="24"/>
              </w:rPr>
              <w:t>②作业区域内应设置危险废物收集专用通道和人员避险通道；</w:t>
            </w:r>
          </w:p>
          <w:p>
            <w:pPr>
              <w:widowControl/>
              <w:spacing w:line="360" w:lineRule="auto"/>
              <w:ind w:firstLine="480" w:firstLineChars="200"/>
              <w:textAlignment w:val="baseline"/>
              <w:rPr>
                <w:snapToGrid w:val="0"/>
                <w:color w:val="auto"/>
                <w:sz w:val="24"/>
              </w:rPr>
            </w:pPr>
            <w:r>
              <w:rPr>
                <w:snapToGrid w:val="0"/>
                <w:color w:val="auto"/>
                <w:sz w:val="24"/>
              </w:rPr>
              <w:t>③收集时应配备必要的收集工具、</w:t>
            </w:r>
            <w:r>
              <w:rPr>
                <w:rFonts w:hint="eastAsia"/>
                <w:snapToGrid w:val="0"/>
                <w:color w:val="auto"/>
                <w:sz w:val="24"/>
              </w:rPr>
              <w:t>以及</w:t>
            </w:r>
            <w:r>
              <w:rPr>
                <w:snapToGrid w:val="0"/>
                <w:color w:val="auto"/>
                <w:sz w:val="24"/>
              </w:rPr>
              <w:t>必要的应急监测设备及应急装备；</w:t>
            </w:r>
          </w:p>
          <w:p>
            <w:pPr>
              <w:widowControl/>
              <w:spacing w:line="360" w:lineRule="auto"/>
              <w:ind w:firstLine="480" w:firstLineChars="200"/>
              <w:textAlignment w:val="baseline"/>
              <w:rPr>
                <w:snapToGrid w:val="0"/>
                <w:color w:val="auto"/>
                <w:sz w:val="24"/>
              </w:rPr>
            </w:pPr>
            <w:r>
              <w:rPr>
                <w:snapToGrid w:val="0"/>
                <w:color w:val="auto"/>
                <w:sz w:val="24"/>
              </w:rPr>
              <w:t>④收集结束后应清理和恢复收集作业区域，确保作业区域环境整洁安全；</w:t>
            </w:r>
          </w:p>
          <w:p>
            <w:pPr>
              <w:widowControl/>
              <w:spacing w:line="360" w:lineRule="auto"/>
              <w:ind w:firstLine="480" w:firstLineChars="200"/>
              <w:textAlignment w:val="baseline"/>
              <w:rPr>
                <w:snapToGrid w:val="0"/>
                <w:color w:val="auto"/>
                <w:sz w:val="24"/>
              </w:rPr>
            </w:pPr>
            <w:r>
              <w:rPr>
                <w:snapToGrid w:val="0"/>
                <w:color w:val="auto"/>
                <w:sz w:val="24"/>
              </w:rPr>
              <w:t>⑤</w:t>
            </w:r>
            <w:r>
              <w:rPr>
                <w:rFonts w:hint="eastAsia"/>
                <w:snapToGrid w:val="0"/>
                <w:color w:val="auto"/>
                <w:sz w:val="24"/>
              </w:rPr>
              <w:t>在转移危险废物前应做好登记台账。</w:t>
            </w:r>
          </w:p>
          <w:p>
            <w:pPr>
              <w:widowControl/>
              <w:autoSpaceDE w:val="0"/>
              <w:spacing w:line="360" w:lineRule="auto"/>
              <w:ind w:firstLine="480" w:firstLineChars="200"/>
              <w:jc w:val="left"/>
              <w:rPr>
                <w:color w:val="auto"/>
                <w:kern w:val="0"/>
                <w:sz w:val="24"/>
              </w:rPr>
            </w:pPr>
            <w:r>
              <w:rPr>
                <w:snapToGrid w:val="0"/>
                <w:color w:val="auto"/>
                <w:sz w:val="24"/>
              </w:rPr>
              <w:t>危险废物收集、贮存应当按照其特性分类进行；禁止将危险废物混入非危险废物中贮存。危险废物收集、贮存和运输过程的污染控制执行《危险废物贮存污染控制标准》（GB1</w:t>
            </w:r>
            <w:r>
              <w:rPr>
                <w:rFonts w:hint="eastAsia"/>
                <w:snapToGrid w:val="0"/>
                <w:color w:val="auto"/>
                <w:sz w:val="24"/>
              </w:rPr>
              <w:t>8597-2023）</w:t>
            </w:r>
            <w:r>
              <w:rPr>
                <w:snapToGrid w:val="0"/>
                <w:color w:val="auto"/>
                <w:sz w:val="24"/>
              </w:rPr>
              <w:t>、《危险废物收集</w:t>
            </w:r>
            <w:r>
              <w:rPr>
                <w:rFonts w:hint="eastAsia"/>
                <w:snapToGrid w:val="0"/>
                <w:color w:val="auto"/>
                <w:sz w:val="24"/>
              </w:rPr>
              <w:t>、</w:t>
            </w:r>
            <w:r>
              <w:rPr>
                <w:snapToGrid w:val="0"/>
                <w:color w:val="auto"/>
                <w:sz w:val="24"/>
              </w:rPr>
              <w:t>贮存</w:t>
            </w:r>
            <w:r>
              <w:rPr>
                <w:rFonts w:hint="eastAsia"/>
                <w:snapToGrid w:val="0"/>
                <w:color w:val="auto"/>
                <w:sz w:val="24"/>
              </w:rPr>
              <w:t>、</w:t>
            </w:r>
            <w:r>
              <w:rPr>
                <w:snapToGrid w:val="0"/>
                <w:color w:val="auto"/>
                <w:sz w:val="24"/>
              </w:rPr>
              <w:t>运输技术规范》（HJ2025</w:t>
            </w:r>
            <w:r>
              <w:rPr>
                <w:rFonts w:hint="eastAsia"/>
                <w:snapToGrid w:val="0"/>
                <w:color w:val="auto"/>
                <w:sz w:val="24"/>
              </w:rPr>
              <w:t>-2023</w:t>
            </w:r>
            <w:r>
              <w:rPr>
                <w:snapToGrid w:val="0"/>
                <w:color w:val="auto"/>
                <w:sz w:val="24"/>
              </w:rPr>
              <w:t>）、《关于印发</w:t>
            </w:r>
            <w:r>
              <w:rPr>
                <w:rFonts w:hint="eastAsia"/>
                <w:snapToGrid w:val="0"/>
                <w:color w:val="auto"/>
                <w:sz w:val="24"/>
              </w:rPr>
              <w:t>&lt;</w:t>
            </w:r>
            <w:r>
              <w:rPr>
                <w:snapToGrid w:val="0"/>
                <w:color w:val="auto"/>
                <w:sz w:val="24"/>
              </w:rPr>
              <w:t>危险废物环境管理指南陆上石油天然气开采</w:t>
            </w:r>
            <w:r>
              <w:rPr>
                <w:rFonts w:hint="eastAsia"/>
                <w:snapToGrid w:val="0"/>
                <w:color w:val="auto"/>
                <w:sz w:val="24"/>
              </w:rPr>
              <w:t>&gt;</w:t>
            </w:r>
            <w:r>
              <w:rPr>
                <w:snapToGrid w:val="0"/>
                <w:color w:val="auto"/>
                <w:sz w:val="24"/>
              </w:rPr>
              <w:t>等七</w:t>
            </w:r>
            <w:r>
              <w:rPr>
                <w:rFonts w:hint="eastAsia"/>
                <w:color w:val="auto"/>
                <w:kern w:val="0"/>
                <w:sz w:val="24"/>
              </w:rPr>
              <w:t>项危险废物环境管理指南的公告》（公告2021年第74号）、《危险废物转移管理办法》（2021年第23号）等有关规定。</w:t>
            </w:r>
          </w:p>
          <w:bookmarkEnd w:id="1"/>
          <w:p>
            <w:pPr>
              <w:widowControl/>
              <w:autoSpaceDE w:val="0"/>
              <w:spacing w:line="360" w:lineRule="auto"/>
              <w:ind w:firstLine="480" w:firstLineChars="200"/>
              <w:jc w:val="left"/>
              <w:rPr>
                <w:color w:val="auto"/>
                <w:kern w:val="0"/>
                <w:sz w:val="24"/>
              </w:rPr>
            </w:pPr>
            <w:r>
              <w:rPr>
                <w:rFonts w:hint="eastAsia"/>
                <w:color w:val="auto"/>
                <w:kern w:val="0"/>
                <w:sz w:val="24"/>
              </w:rPr>
              <w:t>污水处理站运营过程中产生的污油泥和废滤料均属于危险废物，其中污油泥定期交陕西邦达环保工程有限公司处置，废滤料委托其他有资质单位处置。</w:t>
            </w:r>
          </w:p>
          <w:p>
            <w:pPr>
              <w:widowControl/>
              <w:autoSpaceDE w:val="0"/>
              <w:spacing w:line="360" w:lineRule="auto"/>
              <w:ind w:firstLine="480" w:firstLineChars="200"/>
              <w:jc w:val="left"/>
              <w:rPr>
                <w:color w:val="auto"/>
                <w:kern w:val="0"/>
                <w:sz w:val="24"/>
              </w:rPr>
            </w:pPr>
            <w:r>
              <w:rPr>
                <w:rFonts w:hint="eastAsia"/>
                <w:color w:val="auto"/>
                <w:kern w:val="0"/>
                <w:sz w:val="24"/>
              </w:rPr>
              <w:t>据建设单位提供的资料，陕西邦达环保工程有限公司污油泥处理厂于2017年9月份建成投产，于2018年8月经省环保厅和安检局检查验收并分别颁发了《危险废物生产许可证和安全生产许可证》，正式投产三年多来，公司严格执行危险废物固废申报制度、转移联单制度和经营许可证制度，采用引进的专利技术，施行规范清运，规范处置，各项技术指标均达到了设计要求，并在破乳技术方面有了突破性的提高，处在陕北地区同行业的领先地位。</w:t>
            </w:r>
          </w:p>
          <w:p>
            <w:pPr>
              <w:widowControl/>
              <w:autoSpaceDE w:val="0"/>
              <w:spacing w:line="360" w:lineRule="auto"/>
              <w:ind w:firstLine="480" w:firstLineChars="200"/>
              <w:jc w:val="left"/>
              <w:rPr>
                <w:color w:val="auto"/>
                <w:kern w:val="0"/>
                <w:sz w:val="24"/>
              </w:rPr>
            </w:pPr>
            <w:r>
              <w:rPr>
                <w:rFonts w:hint="eastAsia"/>
                <w:color w:val="auto"/>
                <w:kern w:val="0"/>
                <w:sz w:val="24"/>
              </w:rPr>
              <w:t>陕西邦达环保工程有限公司现有工程年处理危废80000t，本项目产生的危废量为232.79t/a，该公司的处理能力可以满足要求。危废处理协议见附件</w:t>
            </w:r>
            <w:r>
              <w:rPr>
                <w:rFonts w:hint="eastAsia"/>
                <w:color w:val="auto"/>
                <w:kern w:val="0"/>
                <w:sz w:val="24"/>
                <w:lang w:val="en-US" w:eastAsia="zh-CN"/>
              </w:rPr>
              <w:t>10</w:t>
            </w:r>
            <w:r>
              <w:rPr>
                <w:rFonts w:hint="eastAsia"/>
                <w:color w:val="auto"/>
                <w:kern w:val="0"/>
                <w:sz w:val="24"/>
              </w:rPr>
              <w:t>，污染防治措施可行。</w:t>
            </w:r>
          </w:p>
          <w:p>
            <w:pPr>
              <w:widowControl/>
              <w:autoSpaceDE w:val="0"/>
              <w:spacing w:line="360" w:lineRule="auto"/>
              <w:ind w:firstLine="480" w:firstLineChars="200"/>
              <w:jc w:val="left"/>
              <w:rPr>
                <w:color w:val="auto"/>
                <w:kern w:val="0"/>
                <w:sz w:val="24"/>
              </w:rPr>
            </w:pPr>
            <w:r>
              <w:rPr>
                <w:rFonts w:hint="eastAsia"/>
                <w:color w:val="auto"/>
                <w:kern w:val="0"/>
                <w:sz w:val="24"/>
              </w:rPr>
              <w:t>通过委托有资质的单位进行运输、处置并加强管理，严格执行危险废物转移联单制，做好危险废物贮存情况的记录，认真落实环保措施，及时清运固废，项目产生固废对周边环境的影响是可以得到控制的，不会对外环境造成明显的影响。</w:t>
            </w:r>
          </w:p>
          <w:p>
            <w:pPr>
              <w:pStyle w:val="11"/>
              <w:spacing w:line="360" w:lineRule="auto"/>
              <w:ind w:firstLine="442" w:firstLineChars="200"/>
              <w:jc w:val="both"/>
              <w:rPr>
                <w:b/>
                <w:bCs/>
                <w:color w:val="auto"/>
                <w:spacing w:val="-10"/>
                <w:szCs w:val="24"/>
              </w:rPr>
            </w:pPr>
            <w:r>
              <w:rPr>
                <w:rFonts w:hint="eastAsia"/>
                <w:b/>
                <w:bCs/>
                <w:color w:val="auto"/>
                <w:spacing w:val="-10"/>
                <w:szCs w:val="24"/>
              </w:rPr>
              <w:t>5、地下水、土壤</w:t>
            </w:r>
          </w:p>
          <w:p>
            <w:pPr>
              <w:widowControl/>
              <w:autoSpaceDE w:val="0"/>
              <w:spacing w:line="360" w:lineRule="auto"/>
              <w:ind w:firstLine="480" w:firstLineChars="200"/>
              <w:jc w:val="left"/>
              <w:rPr>
                <w:color w:val="auto"/>
                <w:kern w:val="0"/>
                <w:sz w:val="24"/>
              </w:rPr>
            </w:pPr>
            <w:r>
              <w:rPr>
                <w:rFonts w:hint="eastAsia" w:ascii="宋体" w:hAnsi="宋体" w:cs="宋体"/>
                <w:color w:val="auto"/>
                <w:kern w:val="0"/>
                <w:sz w:val="24"/>
              </w:rPr>
              <w:t>⑴</w:t>
            </w:r>
            <w:r>
              <w:rPr>
                <w:color w:val="auto"/>
                <w:kern w:val="0"/>
                <w:sz w:val="24"/>
              </w:rPr>
              <w:t xml:space="preserve"> 影响识别</w:t>
            </w:r>
          </w:p>
          <w:p>
            <w:pPr>
              <w:widowControl/>
              <w:autoSpaceDE w:val="0"/>
              <w:spacing w:line="360" w:lineRule="auto"/>
              <w:ind w:firstLine="480" w:firstLineChars="200"/>
              <w:jc w:val="left"/>
              <w:rPr>
                <w:color w:val="auto"/>
                <w:kern w:val="0"/>
                <w:sz w:val="24"/>
              </w:rPr>
            </w:pPr>
            <w:r>
              <w:rPr>
                <w:color w:val="auto"/>
                <w:kern w:val="0"/>
                <w:sz w:val="24"/>
              </w:rPr>
              <w:t>地下水、土壤影响识别见表</w:t>
            </w:r>
            <w:r>
              <w:rPr>
                <w:rFonts w:hint="eastAsia"/>
                <w:color w:val="auto"/>
                <w:kern w:val="0"/>
                <w:sz w:val="24"/>
              </w:rPr>
              <w:t>4-6</w:t>
            </w:r>
            <w:r>
              <w:rPr>
                <w:color w:val="auto"/>
                <w:kern w:val="0"/>
                <w:sz w:val="24"/>
              </w:rPr>
              <w:t>。</w:t>
            </w:r>
          </w:p>
          <w:p>
            <w:pPr>
              <w:spacing w:line="360" w:lineRule="auto"/>
              <w:jc w:val="center"/>
              <w:rPr>
                <w:rFonts w:eastAsia="黑体"/>
                <w:color w:val="auto"/>
              </w:rPr>
            </w:pPr>
            <w:r>
              <w:rPr>
                <w:rFonts w:eastAsia="黑体"/>
                <w:color w:val="auto"/>
              </w:rPr>
              <w:t>表</w:t>
            </w:r>
            <w:r>
              <w:rPr>
                <w:rFonts w:hint="eastAsia" w:eastAsia="黑体"/>
                <w:color w:val="auto"/>
              </w:rPr>
              <w:t xml:space="preserve">4-6 </w:t>
            </w:r>
            <w:r>
              <w:rPr>
                <w:rFonts w:eastAsia="黑体"/>
                <w:color w:val="auto"/>
              </w:rPr>
              <w:t xml:space="preserve"> 项目地下水、土壤环境影响识别表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3164"/>
              <w:gridCol w:w="931"/>
              <w:gridCol w:w="915"/>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712" w:type="dxa"/>
                  <w:vAlign w:val="center"/>
                </w:tcPr>
                <w:p>
                  <w:pPr>
                    <w:snapToGrid w:val="0"/>
                    <w:spacing w:line="280" w:lineRule="exact"/>
                    <w:jc w:val="center"/>
                    <w:rPr>
                      <w:color w:val="auto"/>
                      <w:szCs w:val="21"/>
                    </w:rPr>
                  </w:pPr>
                  <w:r>
                    <w:rPr>
                      <w:color w:val="auto"/>
                      <w:szCs w:val="21"/>
                    </w:rPr>
                    <w:t>污染源</w:t>
                  </w:r>
                </w:p>
              </w:tc>
              <w:tc>
                <w:tcPr>
                  <w:tcW w:w="3164" w:type="dxa"/>
                  <w:vAlign w:val="center"/>
                </w:tcPr>
                <w:p>
                  <w:pPr>
                    <w:snapToGrid w:val="0"/>
                    <w:spacing w:line="280" w:lineRule="exact"/>
                    <w:jc w:val="center"/>
                    <w:rPr>
                      <w:color w:val="auto"/>
                      <w:szCs w:val="21"/>
                    </w:rPr>
                  </w:pPr>
                  <w:r>
                    <w:rPr>
                      <w:color w:val="auto"/>
                      <w:szCs w:val="21"/>
                    </w:rPr>
                    <w:t>污染途径</w:t>
                  </w:r>
                </w:p>
              </w:tc>
              <w:tc>
                <w:tcPr>
                  <w:tcW w:w="931" w:type="dxa"/>
                  <w:vAlign w:val="center"/>
                </w:tcPr>
                <w:p>
                  <w:pPr>
                    <w:snapToGrid w:val="0"/>
                    <w:spacing w:line="280" w:lineRule="exact"/>
                    <w:jc w:val="center"/>
                    <w:rPr>
                      <w:color w:val="auto"/>
                      <w:szCs w:val="21"/>
                    </w:rPr>
                  </w:pPr>
                  <w:r>
                    <w:rPr>
                      <w:color w:val="auto"/>
                      <w:szCs w:val="21"/>
                    </w:rPr>
                    <w:t>污染因子</w:t>
                  </w:r>
                </w:p>
              </w:tc>
              <w:tc>
                <w:tcPr>
                  <w:tcW w:w="915" w:type="dxa"/>
                  <w:vAlign w:val="center"/>
                </w:tcPr>
                <w:p>
                  <w:pPr>
                    <w:snapToGrid w:val="0"/>
                    <w:spacing w:line="280" w:lineRule="exact"/>
                    <w:jc w:val="center"/>
                    <w:rPr>
                      <w:color w:val="auto"/>
                      <w:szCs w:val="21"/>
                    </w:rPr>
                  </w:pPr>
                  <w:r>
                    <w:rPr>
                      <w:color w:val="auto"/>
                      <w:szCs w:val="21"/>
                    </w:rPr>
                    <w:t>污染物类型</w:t>
                  </w:r>
                </w:p>
              </w:tc>
              <w:tc>
                <w:tcPr>
                  <w:tcW w:w="1255" w:type="dxa"/>
                  <w:vAlign w:val="center"/>
                </w:tcPr>
                <w:p>
                  <w:pPr>
                    <w:snapToGrid w:val="0"/>
                    <w:spacing w:line="280" w:lineRule="exact"/>
                    <w:jc w:val="center"/>
                    <w:rPr>
                      <w:color w:val="auto"/>
                      <w:szCs w:val="21"/>
                    </w:rPr>
                  </w:pPr>
                  <w:r>
                    <w:rPr>
                      <w:color w:val="auto"/>
                      <w:szCs w:val="21"/>
                    </w:rPr>
                    <w:t>可能受影响的环境敏感目标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12" w:type="dxa"/>
                  <w:vAlign w:val="center"/>
                </w:tcPr>
                <w:p>
                  <w:pPr>
                    <w:snapToGrid w:val="0"/>
                    <w:spacing w:line="280" w:lineRule="exact"/>
                    <w:jc w:val="center"/>
                    <w:rPr>
                      <w:color w:val="auto"/>
                      <w:szCs w:val="21"/>
                    </w:rPr>
                  </w:pPr>
                  <w:r>
                    <w:rPr>
                      <w:rFonts w:hint="eastAsia"/>
                      <w:color w:val="auto"/>
                    </w:rPr>
                    <w:t>卸水箱、缓冲水罐、污水污泥箱、水处理三级撬、药剂暂存间</w:t>
                  </w:r>
                </w:p>
              </w:tc>
              <w:tc>
                <w:tcPr>
                  <w:tcW w:w="3164" w:type="dxa"/>
                  <w:vAlign w:val="center"/>
                </w:tcPr>
                <w:p>
                  <w:pPr>
                    <w:snapToGrid w:val="0"/>
                    <w:spacing w:line="280" w:lineRule="exact"/>
                    <w:jc w:val="center"/>
                    <w:rPr>
                      <w:color w:val="auto"/>
                      <w:szCs w:val="21"/>
                    </w:rPr>
                  </w:pPr>
                  <w:r>
                    <w:rPr>
                      <w:color w:val="auto"/>
                      <w:szCs w:val="21"/>
                    </w:rPr>
                    <w:t>地面防渗层的破裂</w:t>
                  </w:r>
                  <w:r>
                    <w:rPr>
                      <w:rFonts w:hint="eastAsia"/>
                      <w:color w:val="auto"/>
                      <w:szCs w:val="21"/>
                    </w:rPr>
                    <w:t>或容器、包装物破损</w:t>
                  </w:r>
                  <w:r>
                    <w:rPr>
                      <w:color w:val="auto"/>
                      <w:szCs w:val="21"/>
                    </w:rPr>
                    <w:t>情况下</w:t>
                  </w:r>
                  <w:r>
                    <w:rPr>
                      <w:rFonts w:hint="eastAsia"/>
                      <w:color w:val="auto"/>
                      <w:szCs w:val="21"/>
                    </w:rPr>
                    <w:t>未经处理的采出水或污油泥</w:t>
                  </w:r>
                  <w:r>
                    <w:rPr>
                      <w:color w:val="auto"/>
                      <w:szCs w:val="21"/>
                    </w:rPr>
                    <w:t>渗漏导致污染物下渗</w:t>
                  </w:r>
                </w:p>
              </w:tc>
              <w:tc>
                <w:tcPr>
                  <w:tcW w:w="931" w:type="dxa"/>
                  <w:vAlign w:val="center"/>
                </w:tcPr>
                <w:p>
                  <w:pPr>
                    <w:snapToGrid w:val="0"/>
                    <w:spacing w:line="280" w:lineRule="exact"/>
                    <w:jc w:val="center"/>
                    <w:rPr>
                      <w:color w:val="auto"/>
                      <w:szCs w:val="21"/>
                    </w:rPr>
                  </w:pPr>
                  <w:r>
                    <w:rPr>
                      <w:rFonts w:hint="eastAsia"/>
                      <w:color w:val="auto"/>
                      <w:szCs w:val="21"/>
                    </w:rPr>
                    <w:t>石油类</w:t>
                  </w:r>
                </w:p>
              </w:tc>
              <w:tc>
                <w:tcPr>
                  <w:tcW w:w="915" w:type="dxa"/>
                  <w:vAlign w:val="center"/>
                </w:tcPr>
                <w:p>
                  <w:pPr>
                    <w:snapToGrid w:val="0"/>
                    <w:spacing w:line="280" w:lineRule="exact"/>
                    <w:jc w:val="center"/>
                    <w:rPr>
                      <w:color w:val="auto"/>
                      <w:szCs w:val="21"/>
                    </w:rPr>
                  </w:pPr>
                  <w:r>
                    <w:rPr>
                      <w:color w:val="auto"/>
                      <w:szCs w:val="21"/>
                    </w:rPr>
                    <w:t>其他类型</w:t>
                  </w:r>
                </w:p>
              </w:tc>
              <w:tc>
                <w:tcPr>
                  <w:tcW w:w="1255" w:type="dxa"/>
                  <w:vAlign w:val="center"/>
                </w:tcPr>
                <w:p>
                  <w:pPr>
                    <w:snapToGrid w:val="0"/>
                    <w:spacing w:line="280" w:lineRule="exact"/>
                    <w:jc w:val="center"/>
                    <w:rPr>
                      <w:color w:val="auto"/>
                      <w:szCs w:val="21"/>
                    </w:rPr>
                  </w:pPr>
                  <w:r>
                    <w:rPr>
                      <w:color w:val="auto"/>
                      <w:szCs w:val="21"/>
                    </w:rPr>
                    <w:t>无</w:t>
                  </w:r>
                </w:p>
              </w:tc>
            </w:tr>
          </w:tbl>
          <w:p>
            <w:pPr>
              <w:pStyle w:val="11"/>
              <w:ind w:firstLine="420" w:firstLineChars="200"/>
              <w:jc w:val="both"/>
              <w:rPr>
                <w:b/>
                <w:bCs/>
                <w:color w:val="auto"/>
                <w:spacing w:val="-10"/>
                <w:sz w:val="21"/>
                <w:szCs w:val="21"/>
              </w:rPr>
            </w:pPr>
            <w:r>
              <w:rPr>
                <w:color w:val="auto"/>
                <w:sz w:val="21"/>
                <w:szCs w:val="18"/>
              </w:rPr>
              <w:t>注：污染类型指重金属、持久性有机物污染物、其他类型。</w:t>
            </w:r>
          </w:p>
          <w:p>
            <w:pPr>
              <w:autoSpaceDE w:val="0"/>
              <w:spacing w:line="360" w:lineRule="auto"/>
              <w:ind w:firstLine="480" w:firstLineChars="200"/>
              <w:rPr>
                <w:color w:val="auto"/>
                <w:sz w:val="24"/>
              </w:rPr>
            </w:pPr>
            <w:r>
              <w:rPr>
                <w:rFonts w:hint="eastAsia" w:ascii="宋体" w:hAnsi="宋体" w:cs="宋体"/>
                <w:color w:val="auto"/>
                <w:sz w:val="24"/>
              </w:rPr>
              <w:t>⑵</w:t>
            </w:r>
            <w:r>
              <w:rPr>
                <w:color w:val="auto"/>
                <w:sz w:val="24"/>
              </w:rPr>
              <w:t xml:space="preserve"> 防控措施</w:t>
            </w:r>
          </w:p>
          <w:p>
            <w:pPr>
              <w:pStyle w:val="11"/>
              <w:spacing w:line="360" w:lineRule="auto"/>
              <w:ind w:firstLine="480" w:firstLineChars="200"/>
              <w:jc w:val="both"/>
              <w:rPr>
                <w:color w:val="auto"/>
              </w:rPr>
            </w:pPr>
            <w:r>
              <w:rPr>
                <w:rFonts w:hint="eastAsia"/>
                <w:color w:val="auto"/>
              </w:rPr>
              <w:t>①</w:t>
            </w:r>
            <w:r>
              <w:rPr>
                <w:color w:val="auto"/>
              </w:rPr>
              <w:t xml:space="preserve"> 源头防控控制</w:t>
            </w:r>
          </w:p>
          <w:p>
            <w:pPr>
              <w:pStyle w:val="11"/>
              <w:spacing w:line="360" w:lineRule="auto"/>
              <w:ind w:firstLine="480" w:firstLineChars="200"/>
              <w:jc w:val="both"/>
              <w:rPr>
                <w:color w:val="auto"/>
              </w:rPr>
            </w:pPr>
            <w:r>
              <w:rPr>
                <w:color w:val="auto"/>
              </w:rPr>
              <w:t>为有效防止废水跑冒滴漏以及各种构筑物渗漏对厂区地下水</w:t>
            </w:r>
            <w:r>
              <w:rPr>
                <w:rFonts w:hint="eastAsia"/>
                <w:color w:val="auto"/>
              </w:rPr>
              <w:t>、土壤</w:t>
            </w:r>
            <w:r>
              <w:rPr>
                <w:color w:val="auto"/>
              </w:rPr>
              <w:t>造成污染，项目应选用优质设备和管件，并加强日常管理和维修维护工作，防止和减少跑冒滴漏现象的发生，加强对“三废”排放的管理，尤其是对</w:t>
            </w:r>
            <w:r>
              <w:rPr>
                <w:rFonts w:hint="eastAsia"/>
                <w:color w:val="auto"/>
              </w:rPr>
              <w:t>污水和</w:t>
            </w:r>
            <w:r>
              <w:rPr>
                <w:color w:val="auto"/>
              </w:rPr>
              <w:t>固体废物的处理与处置的管理，充分提高其治理、回收和利用率。</w:t>
            </w:r>
            <w:r>
              <w:rPr>
                <w:rFonts w:hint="eastAsia"/>
                <w:color w:val="auto"/>
              </w:rPr>
              <w:t>另外，也应对操作</w:t>
            </w:r>
            <w:r>
              <w:rPr>
                <w:color w:val="auto"/>
              </w:rPr>
              <w:t>人员</w:t>
            </w:r>
            <w:r>
              <w:rPr>
                <w:rFonts w:hint="eastAsia"/>
                <w:color w:val="auto"/>
              </w:rPr>
              <w:t>加强培训</w:t>
            </w:r>
            <w:r>
              <w:rPr>
                <w:color w:val="auto"/>
              </w:rPr>
              <w:t>，积极培养工作人员的责任意识，提高技术水平</w:t>
            </w:r>
            <w:r>
              <w:rPr>
                <w:rFonts w:hint="eastAsia"/>
                <w:color w:val="auto"/>
              </w:rPr>
              <w:t>。</w:t>
            </w:r>
          </w:p>
          <w:p>
            <w:pPr>
              <w:pStyle w:val="17"/>
              <w:tabs>
                <w:tab w:val="left" w:pos="4680"/>
              </w:tabs>
              <w:adjustRightInd w:val="0"/>
              <w:spacing w:line="353" w:lineRule="auto"/>
              <w:ind w:firstLine="464" w:firstLineChars="200"/>
              <w:rPr>
                <w:color w:val="auto"/>
                <w:spacing w:val="-4"/>
                <w:sz w:val="24"/>
              </w:rPr>
            </w:pPr>
            <w:r>
              <w:rPr>
                <w:rFonts w:hint="eastAsia" w:hAnsi="宋体" w:cs="宋体"/>
                <w:color w:val="auto"/>
                <w:spacing w:val="-4"/>
                <w:sz w:val="24"/>
              </w:rPr>
              <w:t>②</w:t>
            </w:r>
            <w:r>
              <w:rPr>
                <w:color w:val="auto"/>
                <w:spacing w:val="-4"/>
                <w:sz w:val="24"/>
              </w:rPr>
              <w:t xml:space="preserve"> 分区防控措施</w:t>
            </w:r>
          </w:p>
          <w:p>
            <w:pPr>
              <w:pStyle w:val="17"/>
              <w:tabs>
                <w:tab w:val="left" w:pos="4680"/>
              </w:tabs>
              <w:adjustRightInd w:val="0"/>
              <w:spacing w:line="353" w:lineRule="auto"/>
              <w:ind w:firstLine="464" w:firstLineChars="200"/>
              <w:rPr>
                <w:rFonts w:ascii="Times New Roman"/>
                <w:color w:val="auto"/>
                <w:spacing w:val="-4"/>
                <w:sz w:val="24"/>
              </w:rPr>
            </w:pPr>
            <w:r>
              <w:rPr>
                <w:color w:val="auto"/>
                <w:spacing w:val="-4"/>
                <w:sz w:val="24"/>
              </w:rPr>
              <w:t>为防止地下水、土壤污染，</w:t>
            </w:r>
            <w:r>
              <w:rPr>
                <w:rFonts w:ascii="Times New Roman"/>
                <w:color w:val="auto"/>
                <w:spacing w:val="-4"/>
                <w:sz w:val="24"/>
              </w:rPr>
              <w:t>项目还应采取防渗措施，具体防治分区及防渗要求见表</w:t>
            </w:r>
            <w:r>
              <w:rPr>
                <w:rFonts w:hint="eastAsia" w:ascii="Times New Roman"/>
                <w:color w:val="auto"/>
                <w:spacing w:val="-4"/>
                <w:sz w:val="24"/>
              </w:rPr>
              <w:t>4-7，3个处理站的防渗图见附图</w:t>
            </w:r>
            <w:r>
              <w:rPr>
                <w:rFonts w:hint="eastAsia" w:ascii="Times New Roman"/>
                <w:color w:val="auto"/>
                <w:spacing w:val="-4"/>
                <w:sz w:val="24"/>
                <w:lang w:val="en-US" w:eastAsia="zh-CN"/>
              </w:rPr>
              <w:t>9至附图11</w:t>
            </w:r>
            <w:r>
              <w:rPr>
                <w:rFonts w:ascii="Times New Roman"/>
                <w:color w:val="auto"/>
                <w:spacing w:val="-4"/>
                <w:sz w:val="24"/>
              </w:rPr>
              <w:t>。</w:t>
            </w:r>
          </w:p>
          <w:p>
            <w:pPr>
              <w:spacing w:line="360" w:lineRule="auto"/>
              <w:ind w:firstLine="480"/>
              <w:jc w:val="center"/>
              <w:rPr>
                <w:rFonts w:eastAsia="黑体"/>
                <w:color w:val="auto"/>
              </w:rPr>
            </w:pPr>
            <w:r>
              <w:rPr>
                <w:rFonts w:eastAsia="黑体"/>
                <w:color w:val="auto"/>
              </w:rPr>
              <w:t>表</w:t>
            </w:r>
            <w:r>
              <w:rPr>
                <w:rFonts w:hint="eastAsia" w:eastAsia="黑体"/>
                <w:color w:val="auto"/>
              </w:rPr>
              <w:t xml:space="preserve">4-7 </w:t>
            </w:r>
            <w:r>
              <w:rPr>
                <w:rFonts w:eastAsia="黑体"/>
                <w:color w:val="auto"/>
              </w:rPr>
              <w:t xml:space="preserve"> 项目防治分区及防渗要求一览表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
            <w:tblGrid>
              <w:gridCol w:w="732"/>
              <w:gridCol w:w="2375"/>
              <w:gridCol w:w="4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05" w:hRule="atLeast"/>
              </w:trPr>
              <w:tc>
                <w:tcPr>
                  <w:tcW w:w="310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color w:val="auto"/>
                    </w:rPr>
                    <w:t>防治分区</w:t>
                  </w:r>
                </w:p>
              </w:tc>
              <w:tc>
                <w:tcPr>
                  <w:tcW w:w="4871"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color w:val="auto"/>
                    </w:rPr>
                    <w:t>防渗技术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40" w:hRule="atLeast"/>
              </w:trPr>
              <w:tc>
                <w:tcPr>
                  <w:tcW w:w="732" w:type="dxa"/>
                  <w:tcBorders>
                    <w:top w:val="single" w:color="auto" w:sz="4" w:space="0"/>
                    <w:left w:val="single" w:color="auto" w:sz="4" w:space="0"/>
                    <w:bottom w:val="single" w:color="auto" w:sz="4" w:space="0"/>
                    <w:right w:val="single" w:color="auto" w:sz="4" w:space="0"/>
                  </w:tcBorders>
                  <w:vAlign w:val="center"/>
                </w:tcPr>
                <w:p>
                  <w:pPr>
                    <w:snapToGrid w:val="0"/>
                    <w:jc w:val="center"/>
                    <w:rPr>
                      <w:bCs/>
                      <w:color w:val="auto"/>
                      <w:kern w:val="0"/>
                      <w:szCs w:val="21"/>
                    </w:rPr>
                  </w:pPr>
                  <w:r>
                    <w:rPr>
                      <w:color w:val="auto"/>
                    </w:rPr>
                    <w:t>重点防渗区</w:t>
                  </w:r>
                </w:p>
              </w:tc>
              <w:tc>
                <w:tcPr>
                  <w:tcW w:w="237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rPr>
                    <w:t>卸水箱、缓冲水罐、污水污泥箱、水处理三级撬、药剂暂存间</w:t>
                  </w:r>
                </w:p>
              </w:tc>
              <w:tc>
                <w:tcPr>
                  <w:tcW w:w="4871"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rPr>
                  </w:pPr>
                  <w:r>
                    <w:rPr>
                      <w:color w:val="auto"/>
                    </w:rPr>
                    <w:t>等效黏土防渗层Mb≥6.0m，K≤1×10</w:t>
                  </w:r>
                  <w:r>
                    <w:rPr>
                      <w:rFonts w:hint="eastAsia"/>
                      <w:color w:val="auto"/>
                      <w:vertAlign w:val="superscript"/>
                    </w:rPr>
                    <w:t>-7</w:t>
                  </w:r>
                  <w:r>
                    <w:rPr>
                      <w:color w:val="auto"/>
                    </w:rPr>
                    <w:t>cm/s</w:t>
                  </w:r>
                </w:p>
                <w:p>
                  <w:pPr>
                    <w:snapToGrid w:val="0"/>
                    <w:jc w:val="center"/>
                    <w:rPr>
                      <w:color w:val="auto"/>
                    </w:rPr>
                  </w:pPr>
                  <w:r>
                    <w:rPr>
                      <w:rFonts w:hint="eastAsia"/>
                      <w:color w:val="auto"/>
                    </w:rPr>
                    <w:t>（可采用夯实地基用混凝土防渗后再安装建设池体和罐体等）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40" w:hRule="atLeast"/>
              </w:trPr>
              <w:tc>
                <w:tcPr>
                  <w:tcW w:w="732" w:type="dxa"/>
                  <w:tcBorders>
                    <w:top w:val="single" w:color="auto" w:sz="4" w:space="0"/>
                    <w:left w:val="single" w:color="auto" w:sz="4" w:space="0"/>
                    <w:bottom w:val="single" w:color="auto" w:sz="4" w:space="0"/>
                    <w:right w:val="single" w:color="auto" w:sz="4" w:space="0"/>
                  </w:tcBorders>
                  <w:vAlign w:val="center"/>
                </w:tcPr>
                <w:p>
                  <w:pPr>
                    <w:snapToGrid w:val="0"/>
                    <w:jc w:val="center"/>
                    <w:rPr>
                      <w:bCs/>
                      <w:color w:val="auto"/>
                      <w:kern w:val="0"/>
                      <w:szCs w:val="21"/>
                    </w:rPr>
                  </w:pPr>
                  <w:r>
                    <w:rPr>
                      <w:color w:val="auto"/>
                    </w:rPr>
                    <w:t>一般防渗区</w:t>
                  </w:r>
                </w:p>
              </w:tc>
              <w:tc>
                <w:tcPr>
                  <w:tcW w:w="237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净化水箱</w:t>
                  </w:r>
                </w:p>
              </w:tc>
              <w:tc>
                <w:tcPr>
                  <w:tcW w:w="4871"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rPr>
                  </w:pPr>
                  <w:r>
                    <w:rPr>
                      <w:rFonts w:hint="eastAsia"/>
                      <w:color w:val="auto"/>
                    </w:rPr>
                    <w:t>等效黏土防渗层Mb≥1.5m，K≤1×10</w:t>
                  </w:r>
                  <w:r>
                    <w:rPr>
                      <w:rFonts w:hint="eastAsia"/>
                      <w:color w:val="auto"/>
                      <w:vertAlign w:val="superscript"/>
                    </w:rPr>
                    <w:t>-7</w:t>
                  </w:r>
                  <w:r>
                    <w:rPr>
                      <w:rFonts w:hint="eastAsia"/>
                      <w:color w:val="auto"/>
                    </w:rPr>
                    <w:t>cm/s</w:t>
                  </w:r>
                </w:p>
                <w:p>
                  <w:pPr>
                    <w:snapToGrid w:val="0"/>
                    <w:jc w:val="center"/>
                    <w:rPr>
                      <w:color w:val="auto"/>
                    </w:rPr>
                  </w:pPr>
                  <w:r>
                    <w:rPr>
                      <w:rFonts w:hint="eastAsia"/>
                      <w:color w:val="auto"/>
                    </w:rPr>
                    <w:t>（可采用夯实地基后再安装净化水箱）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340" w:hRule="atLeast"/>
              </w:trPr>
              <w:tc>
                <w:tcPr>
                  <w:tcW w:w="73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color w:val="auto"/>
                    </w:rPr>
                    <w:t>简单防渗区</w:t>
                  </w:r>
                </w:p>
              </w:tc>
              <w:tc>
                <w:tcPr>
                  <w:tcW w:w="237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rPr>
                    <w:t>值班撬</w:t>
                  </w:r>
                  <w:r>
                    <w:rPr>
                      <w:color w:val="auto"/>
                    </w:rPr>
                    <w:t>等除绿化以外的区域</w:t>
                  </w:r>
                </w:p>
              </w:tc>
              <w:tc>
                <w:tcPr>
                  <w:tcW w:w="4871"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rPr>
                  </w:pPr>
                  <w:r>
                    <w:rPr>
                      <w:color w:val="auto"/>
                    </w:rPr>
                    <w:t>一般地面硬化</w:t>
                  </w:r>
                </w:p>
              </w:tc>
            </w:tr>
          </w:tbl>
          <w:p>
            <w:pPr>
              <w:spacing w:line="360" w:lineRule="auto"/>
              <w:ind w:firstLine="420"/>
              <w:rPr>
                <w:color w:val="auto"/>
                <w:sz w:val="24"/>
              </w:rPr>
            </w:pPr>
            <w:r>
              <w:rPr>
                <w:color w:val="auto"/>
                <w:sz w:val="24"/>
              </w:rPr>
              <w:t>综上所述，生产运营期加强管理并落实场地防渗措施的前提下，项目</w:t>
            </w:r>
            <w:r>
              <w:rPr>
                <w:rFonts w:hint="eastAsia"/>
                <w:color w:val="auto"/>
                <w:sz w:val="24"/>
              </w:rPr>
              <w:t>对土壤、地下水环境影响程度较轻、影响范围较小，对周边土壤、地下水的影响可接受。</w:t>
            </w:r>
          </w:p>
          <w:p>
            <w:pPr>
              <w:pStyle w:val="11"/>
              <w:spacing w:line="360" w:lineRule="auto"/>
              <w:ind w:firstLine="442" w:firstLineChars="200"/>
              <w:jc w:val="both"/>
              <w:rPr>
                <w:b/>
                <w:bCs/>
                <w:color w:val="auto"/>
                <w:spacing w:val="-10"/>
                <w:szCs w:val="24"/>
              </w:rPr>
            </w:pPr>
            <w:r>
              <w:rPr>
                <w:rFonts w:hint="eastAsia"/>
                <w:b/>
                <w:bCs/>
                <w:color w:val="auto"/>
                <w:spacing w:val="-10"/>
                <w:szCs w:val="24"/>
              </w:rPr>
              <w:t>6、环境监测计划</w:t>
            </w:r>
          </w:p>
          <w:p>
            <w:pPr>
              <w:spacing w:line="360" w:lineRule="auto"/>
              <w:ind w:firstLine="420"/>
              <w:rPr>
                <w:rFonts w:hint="default" w:eastAsia="宋体"/>
                <w:color w:val="auto"/>
                <w:sz w:val="24"/>
                <w:lang w:val="en-US" w:eastAsia="zh-CN"/>
              </w:rPr>
            </w:pPr>
            <w:r>
              <w:rPr>
                <w:rFonts w:hint="eastAsia" w:hAnsi="宋体" w:cs="宋体"/>
                <w:color w:val="auto"/>
                <w:sz w:val="24"/>
              </w:rPr>
              <w:t>本次环评</w:t>
            </w:r>
            <w:r>
              <w:rPr>
                <w:rFonts w:hAnsi="宋体" w:cs="宋体"/>
                <w:color w:val="auto"/>
                <w:sz w:val="24"/>
              </w:rPr>
              <w:t>参照</w:t>
            </w:r>
            <w:r>
              <w:rPr>
                <w:color w:val="auto"/>
                <w:sz w:val="24"/>
                <w:lang w:val="zh-CN"/>
              </w:rPr>
              <w:t>《排污单位自行监测技术指南 陆上石油天然气开采工业》（HJ 1248-2022）</w:t>
            </w:r>
            <w:r>
              <w:rPr>
                <w:rFonts w:hint="eastAsia"/>
                <w:color w:val="auto"/>
                <w:sz w:val="24"/>
              </w:rPr>
              <w:t>和</w:t>
            </w:r>
            <w:r>
              <w:rPr>
                <w:rFonts w:hAnsi="宋体" w:cs="宋体"/>
                <w:color w:val="auto"/>
                <w:sz w:val="24"/>
              </w:rPr>
              <w:t>《排污单位自</w:t>
            </w:r>
            <w:r>
              <w:rPr>
                <w:rFonts w:hint="eastAsia"/>
                <w:color w:val="auto"/>
                <w:sz w:val="24"/>
              </w:rPr>
              <w:t>行监测技术指南 总则》（HJ819-2017）制定监测计划。</w:t>
            </w:r>
            <w:r>
              <w:rPr>
                <w:rFonts w:hint="eastAsia"/>
                <w:color w:val="auto"/>
                <w:kern w:val="2"/>
                <w:sz w:val="24"/>
                <w:szCs w:val="24"/>
                <w:lang w:val="en-US" w:eastAsia="zh-CN"/>
              </w:rPr>
              <w:t>本项目不涉及</w:t>
            </w:r>
            <w:r>
              <w:rPr>
                <w:rFonts w:hint="eastAsia"/>
                <w:color w:val="auto"/>
                <w:kern w:val="2"/>
                <w:sz w:val="24"/>
                <w:szCs w:val="24"/>
                <w:lang w:val="zh-CN"/>
              </w:rPr>
              <w:t>运营期的站场废</w:t>
            </w:r>
            <w:r>
              <w:rPr>
                <w:rFonts w:hint="eastAsia" w:ascii="Times New Roman" w:hAnsi="Times New Roman" w:eastAsia="宋体" w:cs="Times New Roman"/>
                <w:color w:val="auto"/>
                <w:kern w:val="2"/>
                <w:sz w:val="24"/>
                <w:szCs w:val="24"/>
                <w:lang w:val="zh-CN" w:eastAsia="zh-CN"/>
              </w:rPr>
              <w:t>水池、固体废物贮存场与退役期的油气井，</w:t>
            </w:r>
            <w:r>
              <w:rPr>
                <w:rFonts w:hint="eastAsia" w:ascii="Times New Roman" w:hAnsi="Times New Roman" w:eastAsia="宋体" w:cs="Times New Roman"/>
                <w:color w:val="auto"/>
                <w:kern w:val="2"/>
                <w:sz w:val="24"/>
                <w:szCs w:val="24"/>
                <w:lang w:val="en-US" w:eastAsia="zh-CN"/>
              </w:rPr>
              <w:t>故本次不制定地下水环境监测计划。</w:t>
            </w:r>
          </w:p>
          <w:p>
            <w:pPr>
              <w:spacing w:line="360" w:lineRule="auto"/>
              <w:ind w:firstLine="420"/>
              <w:rPr>
                <w:color w:val="auto"/>
                <w:sz w:val="24"/>
              </w:rPr>
            </w:pPr>
            <w:r>
              <w:rPr>
                <w:rFonts w:hint="eastAsia"/>
                <w:color w:val="auto"/>
                <w:sz w:val="24"/>
              </w:rPr>
              <w:t>延长油田股份有限公司定边采油厂后续应将本项目监测计划纳入全厂自行监测计划，并根据需要对本次评价提出的监测计划进行调整。</w:t>
            </w:r>
          </w:p>
          <w:p>
            <w:pPr>
              <w:pStyle w:val="17"/>
              <w:tabs>
                <w:tab w:val="left" w:pos="4680"/>
              </w:tabs>
              <w:adjustRightInd w:val="0"/>
              <w:spacing w:line="353" w:lineRule="auto"/>
              <w:ind w:firstLine="480" w:firstLineChars="200"/>
              <w:rPr>
                <w:color w:val="auto"/>
                <w:sz w:val="24"/>
              </w:rPr>
            </w:pPr>
            <w:r>
              <w:rPr>
                <w:rFonts w:hint="eastAsia"/>
                <w:color w:val="auto"/>
                <w:sz w:val="24"/>
              </w:rPr>
              <w:t>监测计划一览表见表4-8。</w:t>
            </w:r>
          </w:p>
          <w:p>
            <w:pPr>
              <w:spacing w:line="360" w:lineRule="auto"/>
              <w:ind w:firstLine="480"/>
              <w:jc w:val="center"/>
              <w:rPr>
                <w:rFonts w:eastAsia="黑体"/>
                <w:color w:val="auto"/>
              </w:rPr>
            </w:pPr>
            <w:r>
              <w:rPr>
                <w:rFonts w:eastAsia="黑体"/>
                <w:color w:val="auto"/>
              </w:rPr>
              <w:t>表</w:t>
            </w:r>
            <w:r>
              <w:rPr>
                <w:rFonts w:hint="eastAsia" w:eastAsia="黑体"/>
                <w:color w:val="auto"/>
              </w:rPr>
              <w:t xml:space="preserve">4-8 </w:t>
            </w:r>
            <w:r>
              <w:rPr>
                <w:rFonts w:eastAsia="黑体"/>
                <w:color w:val="auto"/>
              </w:rPr>
              <w:t xml:space="preserve"> 项目</w:t>
            </w:r>
            <w:r>
              <w:rPr>
                <w:rFonts w:hint="eastAsia" w:eastAsia="黑体"/>
                <w:color w:val="auto"/>
              </w:rPr>
              <w:t>监测计划</w:t>
            </w:r>
            <w:r>
              <w:rPr>
                <w:rFonts w:eastAsia="黑体"/>
                <w:color w:val="auto"/>
              </w:rPr>
              <w:t>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204"/>
              <w:gridCol w:w="1710"/>
              <w:gridCol w:w="1065"/>
              <w:gridCol w:w="2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color w:val="auto"/>
                      <w:spacing w:val="-4"/>
                      <w:szCs w:val="21"/>
                    </w:rPr>
                    <w:t>类别</w:t>
                  </w:r>
                </w:p>
              </w:tc>
              <w:tc>
                <w:tcPr>
                  <w:tcW w:w="22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color w:val="auto"/>
                      <w:spacing w:val="-4"/>
                      <w:szCs w:val="21"/>
                    </w:rPr>
                    <w:t>监测点位</w:t>
                  </w:r>
                </w:p>
              </w:tc>
              <w:tc>
                <w:tcPr>
                  <w:tcW w:w="17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color w:val="auto"/>
                      <w:spacing w:val="-4"/>
                      <w:szCs w:val="21"/>
                    </w:rPr>
                    <w:t>监测指标</w:t>
                  </w:r>
                </w:p>
              </w:tc>
              <w:tc>
                <w:tcPr>
                  <w:tcW w:w="10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color w:val="auto"/>
                      <w:spacing w:val="-4"/>
                      <w:szCs w:val="21"/>
                    </w:rPr>
                    <w:t>监测频次</w:t>
                  </w:r>
                </w:p>
              </w:tc>
              <w:tc>
                <w:tcPr>
                  <w:tcW w:w="2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color w:val="auto"/>
                      <w:spacing w:val="-4"/>
                      <w:szCs w:val="21"/>
                    </w:rPr>
                    <w:t>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77" w:type="dxa"/>
                  <w:vMerge w:val="restart"/>
                  <w:tcBorders>
                    <w:top w:val="single" w:color="auto" w:sz="4" w:space="0"/>
                    <w:left w:val="single" w:color="auto" w:sz="4" w:space="0"/>
                    <w:right w:val="single" w:color="auto" w:sz="4" w:space="0"/>
                  </w:tcBorders>
                  <w:vAlign w:val="center"/>
                </w:tcPr>
                <w:p>
                  <w:pPr>
                    <w:adjustRightInd w:val="0"/>
                    <w:snapToGrid w:val="0"/>
                    <w:jc w:val="center"/>
                    <w:rPr>
                      <w:color w:val="auto"/>
                      <w:spacing w:val="-4"/>
                      <w:szCs w:val="21"/>
                    </w:rPr>
                  </w:pPr>
                  <w:r>
                    <w:rPr>
                      <w:color w:val="auto"/>
                      <w:spacing w:val="-4"/>
                      <w:szCs w:val="21"/>
                    </w:rPr>
                    <w:t>废气</w:t>
                  </w:r>
                </w:p>
              </w:tc>
              <w:tc>
                <w:tcPr>
                  <w:tcW w:w="22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rFonts w:hint="eastAsia"/>
                      <w:color w:val="auto"/>
                      <w:spacing w:val="-4"/>
                      <w:szCs w:val="21"/>
                    </w:rPr>
                    <w:t>2511站上风向1个对照点，下风向3个控制点</w:t>
                  </w:r>
                </w:p>
              </w:tc>
              <w:tc>
                <w:tcPr>
                  <w:tcW w:w="1710" w:type="dxa"/>
                  <w:vMerge w:val="restart"/>
                  <w:tcBorders>
                    <w:top w:val="single" w:color="auto" w:sz="4" w:space="0"/>
                    <w:left w:val="single" w:color="auto" w:sz="4" w:space="0"/>
                    <w:right w:val="single" w:color="auto" w:sz="4" w:space="0"/>
                  </w:tcBorders>
                  <w:vAlign w:val="center"/>
                </w:tcPr>
                <w:p>
                  <w:pPr>
                    <w:adjustRightInd w:val="0"/>
                    <w:snapToGrid w:val="0"/>
                    <w:jc w:val="center"/>
                    <w:rPr>
                      <w:color w:val="auto"/>
                      <w:spacing w:val="-4"/>
                      <w:szCs w:val="21"/>
                    </w:rPr>
                  </w:pPr>
                  <w:r>
                    <w:rPr>
                      <w:color w:val="auto"/>
                      <w:spacing w:val="-4"/>
                      <w:szCs w:val="21"/>
                    </w:rPr>
                    <w:t>非甲烷总烃</w:t>
                  </w:r>
                </w:p>
              </w:tc>
              <w:tc>
                <w:tcPr>
                  <w:tcW w:w="1065" w:type="dxa"/>
                  <w:vMerge w:val="restart"/>
                  <w:tcBorders>
                    <w:top w:val="single" w:color="auto" w:sz="4" w:space="0"/>
                    <w:left w:val="single" w:color="auto" w:sz="4" w:space="0"/>
                    <w:right w:val="single" w:color="auto" w:sz="4" w:space="0"/>
                  </w:tcBorders>
                  <w:vAlign w:val="center"/>
                </w:tcPr>
                <w:p>
                  <w:pPr>
                    <w:adjustRightInd w:val="0"/>
                    <w:snapToGrid w:val="0"/>
                    <w:jc w:val="center"/>
                    <w:rPr>
                      <w:color w:val="auto"/>
                      <w:spacing w:val="-4"/>
                      <w:szCs w:val="21"/>
                    </w:rPr>
                  </w:pPr>
                  <w:r>
                    <w:rPr>
                      <w:color w:val="auto"/>
                      <w:spacing w:val="-4"/>
                      <w:szCs w:val="21"/>
                    </w:rPr>
                    <w:t>1次/</w:t>
                  </w:r>
                  <w:r>
                    <w:rPr>
                      <w:rFonts w:hint="eastAsia"/>
                      <w:color w:val="auto"/>
                      <w:spacing w:val="-4"/>
                      <w:szCs w:val="21"/>
                    </w:rPr>
                    <w:t>半</w:t>
                  </w:r>
                  <w:r>
                    <w:rPr>
                      <w:color w:val="auto"/>
                      <w:spacing w:val="-4"/>
                      <w:szCs w:val="21"/>
                    </w:rPr>
                    <w:t>年</w:t>
                  </w:r>
                </w:p>
              </w:tc>
              <w:tc>
                <w:tcPr>
                  <w:tcW w:w="2236" w:type="dxa"/>
                  <w:vMerge w:val="restart"/>
                  <w:tcBorders>
                    <w:top w:val="single" w:color="auto" w:sz="4" w:space="0"/>
                    <w:left w:val="single" w:color="auto" w:sz="4" w:space="0"/>
                    <w:right w:val="single" w:color="auto" w:sz="4" w:space="0"/>
                  </w:tcBorders>
                  <w:vAlign w:val="center"/>
                </w:tcPr>
                <w:p>
                  <w:pPr>
                    <w:adjustRightInd w:val="0"/>
                    <w:snapToGrid w:val="0"/>
                    <w:jc w:val="center"/>
                    <w:rPr>
                      <w:color w:val="auto"/>
                      <w:spacing w:val="-4"/>
                      <w:szCs w:val="21"/>
                    </w:rPr>
                  </w:pPr>
                  <w:r>
                    <w:rPr>
                      <w:color w:val="auto"/>
                      <w:spacing w:val="-4"/>
                      <w:szCs w:val="21"/>
                    </w:rPr>
                    <w:t>《陆上石油天然气开采工业大气污染物排放标准》(GB39728-2020)中企业边界污染物控制要求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77" w:type="dxa"/>
                  <w:vMerge w:val="continue"/>
                  <w:tcBorders>
                    <w:left w:val="single" w:color="auto" w:sz="4" w:space="0"/>
                    <w:right w:val="single" w:color="auto" w:sz="4" w:space="0"/>
                  </w:tcBorders>
                  <w:vAlign w:val="center"/>
                </w:tcPr>
                <w:p>
                  <w:pPr>
                    <w:adjustRightInd w:val="0"/>
                    <w:snapToGrid w:val="0"/>
                    <w:jc w:val="center"/>
                    <w:rPr>
                      <w:color w:val="auto"/>
                    </w:rPr>
                  </w:pPr>
                </w:p>
              </w:tc>
              <w:tc>
                <w:tcPr>
                  <w:tcW w:w="22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rFonts w:hint="eastAsia"/>
                      <w:color w:val="auto"/>
                      <w:spacing w:val="-4"/>
                      <w:szCs w:val="21"/>
                    </w:rPr>
                    <w:t>3270站上风向1个对照点，下风向3个控制点</w:t>
                  </w:r>
                </w:p>
              </w:tc>
              <w:tc>
                <w:tcPr>
                  <w:tcW w:w="1710" w:type="dxa"/>
                  <w:vMerge w:val="continue"/>
                  <w:tcBorders>
                    <w:left w:val="single" w:color="auto" w:sz="4" w:space="0"/>
                    <w:right w:val="single" w:color="auto" w:sz="4" w:space="0"/>
                  </w:tcBorders>
                  <w:vAlign w:val="center"/>
                </w:tcPr>
                <w:p>
                  <w:pPr>
                    <w:adjustRightInd w:val="0"/>
                    <w:snapToGrid w:val="0"/>
                    <w:jc w:val="center"/>
                    <w:rPr>
                      <w:color w:val="auto"/>
                      <w:spacing w:val="-4"/>
                      <w:szCs w:val="21"/>
                    </w:rPr>
                  </w:pPr>
                </w:p>
              </w:tc>
              <w:tc>
                <w:tcPr>
                  <w:tcW w:w="1065" w:type="dxa"/>
                  <w:vMerge w:val="continue"/>
                  <w:tcBorders>
                    <w:left w:val="single" w:color="auto" w:sz="4" w:space="0"/>
                    <w:right w:val="single" w:color="auto" w:sz="4" w:space="0"/>
                  </w:tcBorders>
                  <w:vAlign w:val="center"/>
                </w:tcPr>
                <w:p>
                  <w:pPr>
                    <w:adjustRightInd w:val="0"/>
                    <w:snapToGrid w:val="0"/>
                    <w:jc w:val="center"/>
                    <w:rPr>
                      <w:color w:val="auto"/>
                      <w:spacing w:val="-4"/>
                      <w:szCs w:val="21"/>
                    </w:rPr>
                  </w:pPr>
                </w:p>
              </w:tc>
              <w:tc>
                <w:tcPr>
                  <w:tcW w:w="2236" w:type="dxa"/>
                  <w:vMerge w:val="continue"/>
                  <w:tcBorders>
                    <w:left w:val="single" w:color="auto" w:sz="4" w:space="0"/>
                    <w:right w:val="single" w:color="auto" w:sz="4" w:space="0"/>
                  </w:tcBorders>
                  <w:vAlign w:val="center"/>
                </w:tcPr>
                <w:p>
                  <w:pPr>
                    <w:adjustRightInd w:val="0"/>
                    <w:snapToGrid w:val="0"/>
                    <w:jc w:val="center"/>
                    <w:rPr>
                      <w:color w:val="auto"/>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77" w:type="dxa"/>
                  <w:vMerge w:val="continue"/>
                  <w:tcBorders>
                    <w:left w:val="single" w:color="auto" w:sz="4" w:space="0"/>
                    <w:right w:val="single" w:color="auto" w:sz="4" w:space="0"/>
                  </w:tcBorders>
                  <w:vAlign w:val="center"/>
                </w:tcPr>
                <w:p>
                  <w:pPr>
                    <w:adjustRightInd w:val="0"/>
                    <w:snapToGrid w:val="0"/>
                    <w:jc w:val="center"/>
                    <w:rPr>
                      <w:color w:val="auto"/>
                      <w:spacing w:val="-4"/>
                      <w:szCs w:val="21"/>
                    </w:rPr>
                  </w:pPr>
                </w:p>
              </w:tc>
              <w:tc>
                <w:tcPr>
                  <w:tcW w:w="22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rFonts w:hint="eastAsia"/>
                      <w:color w:val="auto"/>
                      <w:spacing w:val="-4"/>
                      <w:szCs w:val="21"/>
                    </w:rPr>
                    <w:t>4926-4站上风向1个对照点，下风向3个控制点</w:t>
                  </w:r>
                </w:p>
              </w:tc>
              <w:tc>
                <w:tcPr>
                  <w:tcW w:w="1710" w:type="dxa"/>
                  <w:vMerge w:val="continue"/>
                  <w:tcBorders>
                    <w:left w:val="single" w:color="auto" w:sz="4" w:space="0"/>
                    <w:right w:val="single" w:color="auto" w:sz="4" w:space="0"/>
                  </w:tcBorders>
                  <w:vAlign w:val="center"/>
                </w:tcPr>
                <w:p>
                  <w:pPr>
                    <w:adjustRightInd w:val="0"/>
                    <w:snapToGrid w:val="0"/>
                    <w:jc w:val="center"/>
                    <w:rPr>
                      <w:color w:val="auto"/>
                      <w:spacing w:val="-4"/>
                      <w:szCs w:val="21"/>
                    </w:rPr>
                  </w:pPr>
                </w:p>
              </w:tc>
              <w:tc>
                <w:tcPr>
                  <w:tcW w:w="1065" w:type="dxa"/>
                  <w:vMerge w:val="continue"/>
                  <w:tcBorders>
                    <w:left w:val="single" w:color="auto" w:sz="4" w:space="0"/>
                    <w:right w:val="single" w:color="auto" w:sz="4" w:space="0"/>
                  </w:tcBorders>
                  <w:vAlign w:val="center"/>
                </w:tcPr>
                <w:p>
                  <w:pPr>
                    <w:adjustRightInd w:val="0"/>
                    <w:snapToGrid w:val="0"/>
                    <w:jc w:val="center"/>
                    <w:rPr>
                      <w:color w:val="auto"/>
                      <w:spacing w:val="-4"/>
                      <w:szCs w:val="21"/>
                    </w:rPr>
                  </w:pPr>
                </w:p>
              </w:tc>
              <w:tc>
                <w:tcPr>
                  <w:tcW w:w="2236" w:type="dxa"/>
                  <w:vMerge w:val="continue"/>
                  <w:tcBorders>
                    <w:left w:val="single" w:color="auto" w:sz="4" w:space="0"/>
                    <w:right w:val="single" w:color="auto" w:sz="4" w:space="0"/>
                  </w:tcBorders>
                  <w:vAlign w:val="center"/>
                </w:tcPr>
                <w:p>
                  <w:pPr>
                    <w:adjustRightInd w:val="0"/>
                    <w:snapToGrid w:val="0"/>
                    <w:jc w:val="center"/>
                    <w:rPr>
                      <w:color w:val="auto"/>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rFonts w:hint="eastAsia"/>
                      <w:color w:val="auto"/>
                      <w:spacing w:val="-4"/>
                      <w:szCs w:val="21"/>
                    </w:rPr>
                    <w:t>废水</w:t>
                  </w:r>
                </w:p>
              </w:tc>
              <w:tc>
                <w:tcPr>
                  <w:tcW w:w="22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rFonts w:hint="eastAsia"/>
                      <w:color w:val="auto"/>
                      <w:spacing w:val="-4"/>
                      <w:szCs w:val="21"/>
                    </w:rPr>
                    <w:t>2511站、3270站、4926-4站总出水口</w:t>
                  </w:r>
                </w:p>
              </w:tc>
              <w:tc>
                <w:tcPr>
                  <w:tcW w:w="17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rFonts w:hint="eastAsia"/>
                      <w:color w:val="auto"/>
                      <w:szCs w:val="21"/>
                    </w:rPr>
                    <w:t>石油类、SS、悬浮物颗粒直径中值、平均腐蚀率、COD</w:t>
                  </w:r>
                </w:p>
              </w:tc>
              <w:tc>
                <w:tcPr>
                  <w:tcW w:w="10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color w:val="auto"/>
                      <w:spacing w:val="-4"/>
                      <w:szCs w:val="21"/>
                    </w:rPr>
                    <w:t>1次/</w:t>
                  </w:r>
                  <w:r>
                    <w:rPr>
                      <w:rFonts w:hint="eastAsia"/>
                      <w:color w:val="auto"/>
                      <w:spacing w:val="-4"/>
                      <w:szCs w:val="21"/>
                    </w:rPr>
                    <w:t>季度</w:t>
                  </w:r>
                </w:p>
              </w:tc>
              <w:tc>
                <w:tcPr>
                  <w:tcW w:w="2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rFonts w:hint="eastAsia"/>
                      <w:color w:val="auto"/>
                      <w:kern w:val="0"/>
                      <w:szCs w:val="21"/>
                    </w:rPr>
                    <w:t>《碎屑岩油藏注水水质指标技术要求及分析方法》（SY/T5329-2022）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color w:val="auto"/>
                      <w:spacing w:val="-4"/>
                      <w:szCs w:val="21"/>
                    </w:rPr>
                    <w:t>噪声</w:t>
                  </w:r>
                </w:p>
              </w:tc>
              <w:tc>
                <w:tcPr>
                  <w:tcW w:w="22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rFonts w:hint="eastAsia"/>
                      <w:color w:val="auto"/>
                      <w:spacing w:val="-4"/>
                      <w:szCs w:val="21"/>
                    </w:rPr>
                    <w:t>3个处理站</w:t>
                  </w:r>
                  <w:r>
                    <w:rPr>
                      <w:color w:val="auto"/>
                      <w:spacing w:val="-4"/>
                      <w:szCs w:val="21"/>
                    </w:rPr>
                    <w:t>厂界四周外各设1个监测点位</w:t>
                  </w:r>
                </w:p>
              </w:tc>
              <w:tc>
                <w:tcPr>
                  <w:tcW w:w="17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color w:val="auto"/>
                      <w:spacing w:val="-4"/>
                      <w:szCs w:val="21"/>
                    </w:rPr>
                    <w:t>昼、夜等效连续A声级</w:t>
                  </w:r>
                </w:p>
              </w:tc>
              <w:tc>
                <w:tcPr>
                  <w:tcW w:w="10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color w:val="auto"/>
                      <w:spacing w:val="-4"/>
                      <w:szCs w:val="21"/>
                    </w:rPr>
                    <w:t>1次/季度</w:t>
                  </w:r>
                </w:p>
              </w:tc>
              <w:tc>
                <w:tcPr>
                  <w:tcW w:w="22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pacing w:val="-4"/>
                      <w:szCs w:val="21"/>
                    </w:rPr>
                  </w:pPr>
                  <w:r>
                    <w:rPr>
                      <w:color w:val="auto"/>
                      <w:spacing w:val="-4"/>
                      <w:szCs w:val="21"/>
                    </w:rPr>
                    <w:t>《工业企业厂界环境噪声排放标准》（GB12348-2008）</w:t>
                  </w:r>
                  <w:r>
                    <w:rPr>
                      <w:rFonts w:hint="eastAsia"/>
                      <w:color w:val="auto"/>
                      <w:spacing w:val="-4"/>
                      <w:szCs w:val="21"/>
                    </w:rPr>
                    <w:t>2</w:t>
                  </w:r>
                  <w:r>
                    <w:rPr>
                      <w:color w:val="auto"/>
                      <w:spacing w:val="-4"/>
                      <w:szCs w:val="21"/>
                    </w:rPr>
                    <w:t>类标准要求</w:t>
                  </w:r>
                </w:p>
              </w:tc>
            </w:tr>
          </w:tbl>
          <w:p>
            <w:pPr>
              <w:pStyle w:val="11"/>
              <w:spacing w:line="360" w:lineRule="auto"/>
              <w:ind w:firstLine="442" w:firstLineChars="200"/>
              <w:jc w:val="both"/>
              <w:rPr>
                <w:b/>
                <w:bCs/>
                <w:color w:val="auto"/>
                <w:spacing w:val="-10"/>
                <w:szCs w:val="24"/>
              </w:rPr>
            </w:pPr>
            <w:r>
              <w:rPr>
                <w:rFonts w:hint="eastAsia"/>
                <w:b/>
                <w:bCs/>
                <w:color w:val="auto"/>
                <w:spacing w:val="-10"/>
                <w:szCs w:val="24"/>
              </w:rPr>
              <w:t>7、环境保护投资</w:t>
            </w:r>
          </w:p>
          <w:p>
            <w:pPr>
              <w:spacing w:line="360" w:lineRule="auto"/>
              <w:ind w:firstLine="420"/>
              <w:rPr>
                <w:color w:val="auto"/>
                <w:sz w:val="24"/>
              </w:rPr>
            </w:pPr>
            <w:r>
              <w:rPr>
                <w:rFonts w:hint="eastAsia"/>
                <w:color w:val="auto"/>
                <w:sz w:val="24"/>
              </w:rPr>
              <w:t>项目总投资</w:t>
            </w:r>
            <w:r>
              <w:rPr>
                <w:rFonts w:hint="eastAsia"/>
                <w:color w:val="auto"/>
                <w:sz w:val="24"/>
              </w:rPr>
              <w:t>259.26万元，</w:t>
            </w:r>
            <w:bookmarkStart w:id="2" w:name="_Hlk90905299"/>
            <w:r>
              <w:rPr>
                <w:rFonts w:hint="eastAsia"/>
                <w:color w:val="auto"/>
                <w:sz w:val="24"/>
              </w:rPr>
              <w:t>估算环保投资35.7万元，占总投资的14.46%。</w:t>
            </w:r>
            <w:bookmarkEnd w:id="2"/>
            <w:r>
              <w:rPr>
                <w:rFonts w:hint="eastAsia"/>
                <w:color w:val="auto"/>
                <w:sz w:val="24"/>
              </w:rPr>
              <w:t>环保投资概算见表4-9。</w:t>
            </w:r>
          </w:p>
          <w:p>
            <w:pPr>
              <w:spacing w:line="360" w:lineRule="auto"/>
              <w:ind w:firstLine="420"/>
              <w:rPr>
                <w:color w:val="auto"/>
                <w:sz w:val="24"/>
              </w:rPr>
            </w:pPr>
            <w:r>
              <w:rPr>
                <w:rFonts w:hint="eastAsia"/>
                <w:color w:val="auto"/>
                <w:sz w:val="24"/>
              </w:rPr>
              <w:t>考虑到本项目运营期环保投资相对较多、较重要，故本次也对运营期环保投资进行估算。项目运营期处理采出水总投资为10元/m³，其中药剂及滤料费为3.5元/m³，人工费为2元/m³，维护及维修费为1元/m³，电费为3.5元/m³。估算运营期环保投资主要为药剂和滤料费，占运营期总投资的35%。运营期总投资为328.5万元/年，环保投资为114.97万元/年。本项目设备可正常运行约15年。</w:t>
            </w:r>
          </w:p>
          <w:p>
            <w:pPr>
              <w:snapToGrid w:val="0"/>
              <w:spacing w:line="360" w:lineRule="auto"/>
              <w:jc w:val="center"/>
              <w:rPr>
                <w:rFonts w:eastAsia="黑体"/>
                <w:bCs/>
                <w:color w:val="auto"/>
                <w:szCs w:val="21"/>
              </w:rPr>
            </w:pPr>
            <w:r>
              <w:rPr>
                <w:rFonts w:hint="eastAsia" w:eastAsia="黑体"/>
                <w:bCs/>
                <w:color w:val="auto"/>
                <w:szCs w:val="21"/>
              </w:rPr>
              <w:t xml:space="preserve">表4-9  </w:t>
            </w:r>
            <w:r>
              <w:rPr>
                <w:rFonts w:eastAsia="黑体"/>
                <w:bCs/>
                <w:color w:val="auto"/>
                <w:szCs w:val="21"/>
              </w:rPr>
              <w:t>项目环保投资概算表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527"/>
              <w:gridCol w:w="568"/>
              <w:gridCol w:w="1352"/>
              <w:gridCol w:w="705"/>
              <w:gridCol w:w="2557"/>
              <w:gridCol w:w="868"/>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2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名称</w:t>
                  </w:r>
                </w:p>
              </w:tc>
              <w:tc>
                <w:tcPr>
                  <w:tcW w:w="5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类别</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污染源</w:t>
                  </w:r>
                </w:p>
              </w:tc>
              <w:tc>
                <w:tcPr>
                  <w:tcW w:w="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污染物</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治理措施</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数量</w:t>
                  </w:r>
                </w:p>
              </w:tc>
              <w:tc>
                <w:tcPr>
                  <w:tcW w:w="1401"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费用</w:t>
                  </w:r>
                </w:p>
                <w:p>
                  <w:pPr>
                    <w:snapToGrid w:val="0"/>
                    <w:jc w:val="center"/>
                    <w:rPr>
                      <w:color w:val="auto"/>
                      <w:szCs w:val="21"/>
                    </w:rPr>
                  </w:pPr>
                  <w:r>
                    <w:rPr>
                      <w:rFonts w:hint="eastAsia"/>
                      <w:color w:val="auto"/>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27" w:type="dxa"/>
                  <w:vMerge w:val="restart"/>
                  <w:tcBorders>
                    <w:top w:val="single" w:color="auto" w:sz="4" w:space="0"/>
                    <w:left w:val="single" w:color="auto" w:sz="4" w:space="0"/>
                    <w:right w:val="single" w:color="auto" w:sz="4" w:space="0"/>
                  </w:tcBorders>
                  <w:vAlign w:val="center"/>
                </w:tcPr>
                <w:p>
                  <w:pPr>
                    <w:snapToGrid w:val="0"/>
                    <w:jc w:val="center"/>
                    <w:rPr>
                      <w:color w:val="auto"/>
                      <w:szCs w:val="21"/>
                    </w:rPr>
                  </w:pPr>
                  <w:r>
                    <w:rPr>
                      <w:rFonts w:hint="eastAsia"/>
                      <w:color w:val="auto"/>
                      <w:szCs w:val="21"/>
                    </w:rPr>
                    <w:t>2511站</w:t>
                  </w:r>
                </w:p>
              </w:tc>
              <w:tc>
                <w:tcPr>
                  <w:tcW w:w="5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废气</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卸水池、缓冲水池、三级撬装设备、污水污泥罐无组织废气</w:t>
                  </w:r>
                </w:p>
              </w:tc>
              <w:tc>
                <w:tcPr>
                  <w:tcW w:w="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非甲烷总烃</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卸水池、缓冲水池、三级撬装设备、污水污泥罐等设施均采取密闭措施，有效减小非甲烷总烃无组织排放</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1套</w:t>
                  </w:r>
                </w:p>
              </w:tc>
              <w:tc>
                <w:tcPr>
                  <w:tcW w:w="1401"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27" w:type="dxa"/>
                  <w:vMerge w:val="continue"/>
                  <w:tcBorders>
                    <w:left w:val="single" w:color="auto" w:sz="4" w:space="0"/>
                    <w:right w:val="single" w:color="auto" w:sz="4" w:space="0"/>
                  </w:tcBorders>
                  <w:vAlign w:val="center"/>
                </w:tcPr>
                <w:p>
                  <w:pPr>
                    <w:snapToGrid w:val="0"/>
                    <w:jc w:val="center"/>
                    <w:rPr>
                      <w:color w:val="auto"/>
                      <w:szCs w:val="21"/>
                    </w:rPr>
                  </w:pPr>
                </w:p>
              </w:tc>
              <w:tc>
                <w:tcPr>
                  <w:tcW w:w="568" w:type="dxa"/>
                  <w:tcBorders>
                    <w:top w:val="single" w:color="auto" w:sz="4" w:space="0"/>
                    <w:left w:val="single" w:color="auto" w:sz="4" w:space="0"/>
                    <w:right w:val="single" w:color="auto" w:sz="4" w:space="0"/>
                  </w:tcBorders>
                  <w:vAlign w:val="center"/>
                </w:tcPr>
                <w:p>
                  <w:pPr>
                    <w:snapToGrid w:val="0"/>
                    <w:jc w:val="center"/>
                    <w:rPr>
                      <w:color w:val="auto"/>
                      <w:szCs w:val="21"/>
                    </w:rPr>
                  </w:pPr>
                  <w:r>
                    <w:rPr>
                      <w:rFonts w:hint="eastAsia"/>
                      <w:color w:val="auto"/>
                      <w:szCs w:val="21"/>
                    </w:rPr>
                    <w:t>废水</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采出水</w:t>
                  </w:r>
                </w:p>
              </w:tc>
              <w:tc>
                <w:tcPr>
                  <w:tcW w:w="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石油类</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地面硬化、地基夯实、池底、池壁防渗等防渗措施</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w:t>
                  </w:r>
                </w:p>
              </w:tc>
              <w:tc>
                <w:tcPr>
                  <w:tcW w:w="1401"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27" w:type="dxa"/>
                  <w:vMerge w:val="continue"/>
                  <w:tcBorders>
                    <w:left w:val="single" w:color="auto" w:sz="4" w:space="0"/>
                    <w:right w:val="single" w:color="auto" w:sz="4" w:space="0"/>
                  </w:tcBorders>
                  <w:vAlign w:val="center"/>
                </w:tcPr>
                <w:p>
                  <w:pPr>
                    <w:snapToGrid w:val="0"/>
                    <w:jc w:val="center"/>
                    <w:rPr>
                      <w:color w:val="auto"/>
                      <w:szCs w:val="21"/>
                    </w:rPr>
                  </w:pPr>
                </w:p>
              </w:tc>
              <w:tc>
                <w:tcPr>
                  <w:tcW w:w="5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噪声</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color w:val="auto"/>
                      <w:szCs w:val="21"/>
                    </w:rPr>
                    <w:t>泵类</w:t>
                  </w:r>
                  <w:r>
                    <w:rPr>
                      <w:rFonts w:hint="eastAsia"/>
                      <w:color w:val="auto"/>
                      <w:szCs w:val="21"/>
                    </w:rPr>
                    <w:t>等设备</w:t>
                  </w:r>
                </w:p>
              </w:tc>
              <w:tc>
                <w:tcPr>
                  <w:tcW w:w="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噪声</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选用低噪声设备、基础减振等</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配套</w:t>
                  </w:r>
                </w:p>
              </w:tc>
              <w:tc>
                <w:tcPr>
                  <w:tcW w:w="1401"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45" w:hRule="atLeast"/>
                <w:jc w:val="center"/>
              </w:trPr>
              <w:tc>
                <w:tcPr>
                  <w:tcW w:w="527" w:type="dxa"/>
                  <w:vMerge w:val="continue"/>
                  <w:tcBorders>
                    <w:left w:val="single" w:color="auto" w:sz="4" w:space="0"/>
                    <w:right w:val="single" w:color="auto" w:sz="4" w:space="0"/>
                  </w:tcBorders>
                  <w:vAlign w:val="center"/>
                </w:tcPr>
                <w:p>
                  <w:pPr>
                    <w:snapToGrid w:val="0"/>
                    <w:jc w:val="center"/>
                    <w:rPr>
                      <w:color w:val="auto"/>
                      <w:szCs w:val="21"/>
                    </w:rPr>
                  </w:pPr>
                </w:p>
              </w:tc>
              <w:tc>
                <w:tcPr>
                  <w:tcW w:w="568" w:type="dxa"/>
                  <w:vMerge w:val="restart"/>
                  <w:tcBorders>
                    <w:top w:val="single" w:color="auto" w:sz="4" w:space="0"/>
                    <w:left w:val="single" w:color="auto" w:sz="4" w:space="0"/>
                    <w:right w:val="single" w:color="auto" w:sz="4" w:space="0"/>
                  </w:tcBorders>
                  <w:vAlign w:val="center"/>
                </w:tcPr>
                <w:p>
                  <w:pPr>
                    <w:snapToGrid w:val="0"/>
                    <w:jc w:val="center"/>
                    <w:rPr>
                      <w:color w:val="auto"/>
                      <w:szCs w:val="21"/>
                    </w:rPr>
                  </w:pPr>
                  <w:r>
                    <w:rPr>
                      <w:rFonts w:hint="eastAsia"/>
                      <w:color w:val="auto"/>
                      <w:szCs w:val="21"/>
                    </w:rPr>
                    <w:t>固废</w:t>
                  </w:r>
                </w:p>
              </w:tc>
              <w:tc>
                <w:tcPr>
                  <w:tcW w:w="2057" w:type="dxa"/>
                  <w:gridSpan w:val="2"/>
                  <w:tcBorders>
                    <w:top w:val="single" w:color="auto" w:sz="4" w:space="0"/>
                    <w:left w:val="single" w:color="auto" w:sz="4" w:space="0"/>
                    <w:right w:val="single" w:color="auto" w:sz="4" w:space="0"/>
                  </w:tcBorders>
                  <w:vAlign w:val="center"/>
                </w:tcPr>
                <w:p>
                  <w:pPr>
                    <w:snapToGrid w:val="0"/>
                    <w:jc w:val="center"/>
                    <w:rPr>
                      <w:color w:val="auto"/>
                      <w:szCs w:val="21"/>
                    </w:rPr>
                  </w:pPr>
                  <w:r>
                    <w:rPr>
                      <w:rFonts w:hint="eastAsia"/>
                      <w:color w:val="auto"/>
                      <w:szCs w:val="21"/>
                    </w:rPr>
                    <w:t>含油污泥</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含油污泥进入污水污泥罐暂存，定期委托有资质单位外运处置</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w:t>
                  </w:r>
                </w:p>
              </w:tc>
              <w:tc>
                <w:tcPr>
                  <w:tcW w:w="1401" w:type="dxa"/>
                  <w:tcBorders>
                    <w:top w:val="single" w:color="auto" w:sz="4" w:space="0"/>
                    <w:left w:val="single" w:color="auto" w:sz="4" w:space="0"/>
                    <w:right w:val="single" w:color="auto" w:sz="4" w:space="0"/>
                  </w:tcBorders>
                  <w:vAlign w:val="center"/>
                </w:tcPr>
                <w:p>
                  <w:pPr>
                    <w:snapToGrid w:val="0"/>
                    <w:jc w:val="center"/>
                    <w:rPr>
                      <w:color w:val="auto"/>
                      <w:szCs w:val="21"/>
                    </w:rPr>
                  </w:pPr>
                  <w:r>
                    <w:rPr>
                      <w:rFonts w:hint="eastAsia"/>
                      <w:color w:val="auto"/>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27" w:type="dxa"/>
                  <w:vMerge w:val="continue"/>
                  <w:tcBorders>
                    <w:left w:val="single" w:color="auto" w:sz="4" w:space="0"/>
                    <w:right w:val="single" w:color="auto" w:sz="4" w:space="0"/>
                  </w:tcBorders>
                  <w:vAlign w:val="center"/>
                </w:tcPr>
                <w:p>
                  <w:pPr>
                    <w:snapToGrid w:val="0"/>
                    <w:jc w:val="center"/>
                    <w:rPr>
                      <w:color w:val="auto"/>
                      <w:szCs w:val="21"/>
                    </w:rPr>
                  </w:pPr>
                </w:p>
              </w:tc>
              <w:tc>
                <w:tcPr>
                  <w:tcW w:w="568" w:type="dxa"/>
                  <w:vMerge w:val="continue"/>
                  <w:tcBorders>
                    <w:left w:val="single" w:color="auto" w:sz="4" w:space="0"/>
                    <w:right w:val="single" w:color="auto" w:sz="4" w:space="0"/>
                  </w:tcBorders>
                  <w:vAlign w:val="center"/>
                </w:tcPr>
                <w:p>
                  <w:pPr>
                    <w:snapToGrid w:val="0"/>
                    <w:jc w:val="center"/>
                    <w:rPr>
                      <w:color w:val="auto"/>
                      <w:szCs w:val="21"/>
                    </w:rPr>
                  </w:pPr>
                </w:p>
              </w:tc>
              <w:tc>
                <w:tcPr>
                  <w:tcW w:w="205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废滤料</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废滤料由设备厂家更换后回收，委托有资质单位处置，不在站内存放</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w:t>
                  </w:r>
                </w:p>
              </w:tc>
              <w:tc>
                <w:tcPr>
                  <w:tcW w:w="1401"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27" w:type="dxa"/>
                  <w:vMerge w:val="restart"/>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3270站</w:t>
                  </w:r>
                </w:p>
              </w:tc>
              <w:tc>
                <w:tcPr>
                  <w:tcW w:w="568"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废气</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卸水池、缓冲水池、三级撬装设备、污水污泥罐无组织废气</w:t>
                  </w:r>
                </w:p>
              </w:tc>
              <w:tc>
                <w:tcPr>
                  <w:tcW w:w="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非甲烷总烃</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卸水池、缓冲水池、三级撬装设备、污水污泥罐等设施均采取密闭措施，有效减小非甲烷总烃无组织排放</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1套</w:t>
                  </w:r>
                </w:p>
              </w:tc>
              <w:tc>
                <w:tcPr>
                  <w:tcW w:w="1401"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27" w:type="dxa"/>
                  <w:vMerge w:val="continue"/>
                  <w:tcBorders>
                    <w:left w:val="single" w:color="auto" w:sz="4" w:space="0"/>
                    <w:right w:val="single" w:color="auto" w:sz="4" w:space="0"/>
                  </w:tcBorders>
                  <w:vAlign w:val="center"/>
                </w:tcPr>
                <w:p>
                  <w:pPr>
                    <w:snapToGrid w:val="0"/>
                    <w:jc w:val="center"/>
                    <w:rPr>
                      <w:color w:val="auto"/>
                      <w:szCs w:val="21"/>
                    </w:rPr>
                  </w:pPr>
                </w:p>
              </w:tc>
              <w:tc>
                <w:tcPr>
                  <w:tcW w:w="568"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废水</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采出水</w:t>
                  </w:r>
                </w:p>
              </w:tc>
              <w:tc>
                <w:tcPr>
                  <w:tcW w:w="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石油类</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地面硬化、地基夯实、池底、池壁防渗等防渗措施</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w:t>
                  </w:r>
                </w:p>
              </w:tc>
              <w:tc>
                <w:tcPr>
                  <w:tcW w:w="1401"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27" w:type="dxa"/>
                  <w:vMerge w:val="continue"/>
                  <w:tcBorders>
                    <w:left w:val="single" w:color="auto" w:sz="4" w:space="0"/>
                    <w:right w:val="single" w:color="auto" w:sz="4" w:space="0"/>
                  </w:tcBorders>
                  <w:vAlign w:val="center"/>
                </w:tcPr>
                <w:p>
                  <w:pPr>
                    <w:snapToGrid w:val="0"/>
                    <w:jc w:val="center"/>
                    <w:rPr>
                      <w:color w:val="auto"/>
                      <w:szCs w:val="21"/>
                    </w:rPr>
                  </w:pPr>
                </w:p>
              </w:tc>
              <w:tc>
                <w:tcPr>
                  <w:tcW w:w="568"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噪声</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color w:val="auto"/>
                      <w:szCs w:val="21"/>
                    </w:rPr>
                    <w:t>泵类</w:t>
                  </w:r>
                  <w:r>
                    <w:rPr>
                      <w:rFonts w:hint="eastAsia"/>
                      <w:color w:val="auto"/>
                      <w:szCs w:val="21"/>
                    </w:rPr>
                    <w:t>等设备</w:t>
                  </w:r>
                </w:p>
              </w:tc>
              <w:tc>
                <w:tcPr>
                  <w:tcW w:w="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噪声</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选用低噪声设备、基础减振等</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配套</w:t>
                  </w:r>
                </w:p>
              </w:tc>
              <w:tc>
                <w:tcPr>
                  <w:tcW w:w="1401"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27" w:type="dxa"/>
                  <w:vMerge w:val="continue"/>
                  <w:tcBorders>
                    <w:left w:val="single" w:color="auto" w:sz="4" w:space="0"/>
                    <w:right w:val="single" w:color="auto" w:sz="4" w:space="0"/>
                  </w:tcBorders>
                  <w:vAlign w:val="center"/>
                </w:tcPr>
                <w:p>
                  <w:pPr>
                    <w:snapToGrid w:val="0"/>
                    <w:jc w:val="center"/>
                    <w:rPr>
                      <w:color w:val="auto"/>
                      <w:szCs w:val="21"/>
                    </w:rPr>
                  </w:pPr>
                </w:p>
              </w:tc>
              <w:tc>
                <w:tcPr>
                  <w:tcW w:w="568" w:type="dxa"/>
                  <w:vMerge w:val="restart"/>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固废</w:t>
                  </w:r>
                </w:p>
              </w:tc>
              <w:tc>
                <w:tcPr>
                  <w:tcW w:w="205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含油污泥</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含油污泥进入污水污泥罐暂存，定期委托有资质单位外运处置</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w:t>
                  </w:r>
                </w:p>
              </w:tc>
              <w:tc>
                <w:tcPr>
                  <w:tcW w:w="1401"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27" w:type="dxa"/>
                  <w:vMerge w:val="continue"/>
                  <w:tcBorders>
                    <w:left w:val="single" w:color="auto" w:sz="4" w:space="0"/>
                    <w:right w:val="single" w:color="auto" w:sz="4" w:space="0"/>
                  </w:tcBorders>
                  <w:vAlign w:val="center"/>
                </w:tcPr>
                <w:p>
                  <w:pPr>
                    <w:snapToGrid w:val="0"/>
                    <w:jc w:val="center"/>
                    <w:rPr>
                      <w:color w:val="auto"/>
                      <w:szCs w:val="21"/>
                    </w:rPr>
                  </w:pPr>
                </w:p>
              </w:tc>
              <w:tc>
                <w:tcPr>
                  <w:tcW w:w="568" w:type="dxa"/>
                  <w:vMerge w:val="continue"/>
                  <w:tcBorders>
                    <w:left w:val="single" w:color="auto" w:sz="4" w:space="0"/>
                    <w:right w:val="single" w:color="auto" w:sz="4" w:space="0"/>
                  </w:tcBorders>
                  <w:vAlign w:val="center"/>
                </w:tcPr>
                <w:p>
                  <w:pPr>
                    <w:snapToGrid w:val="0"/>
                    <w:jc w:val="center"/>
                    <w:rPr>
                      <w:color w:val="auto"/>
                      <w:szCs w:val="21"/>
                    </w:rPr>
                  </w:pPr>
                </w:p>
              </w:tc>
              <w:tc>
                <w:tcPr>
                  <w:tcW w:w="205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废滤料</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废滤料由设备厂家更换后回收，委托有资质单位处置，不在站内存放</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w:t>
                  </w:r>
                </w:p>
              </w:tc>
              <w:tc>
                <w:tcPr>
                  <w:tcW w:w="1401"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27" w:type="dxa"/>
                  <w:vMerge w:val="restart"/>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4926-4站</w:t>
                  </w:r>
                </w:p>
              </w:tc>
              <w:tc>
                <w:tcPr>
                  <w:tcW w:w="568"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废气</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卸水池、缓冲水池、三级撬装设备、污水污泥罐无组织废气</w:t>
                  </w:r>
                </w:p>
              </w:tc>
              <w:tc>
                <w:tcPr>
                  <w:tcW w:w="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非甲烷总烃</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卸水池、缓冲水池、三级撬装设备、污水污泥罐等设施均采取密闭措施，有效减小非甲烷总烃无组织排放</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1套</w:t>
                  </w:r>
                </w:p>
              </w:tc>
              <w:tc>
                <w:tcPr>
                  <w:tcW w:w="1401"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27" w:type="dxa"/>
                  <w:vMerge w:val="continue"/>
                  <w:tcBorders>
                    <w:left w:val="single" w:color="auto" w:sz="4" w:space="0"/>
                    <w:right w:val="single" w:color="auto" w:sz="4" w:space="0"/>
                  </w:tcBorders>
                  <w:vAlign w:val="center"/>
                </w:tcPr>
                <w:p>
                  <w:pPr>
                    <w:snapToGrid w:val="0"/>
                    <w:jc w:val="center"/>
                    <w:rPr>
                      <w:color w:val="auto"/>
                      <w:szCs w:val="21"/>
                    </w:rPr>
                  </w:pPr>
                </w:p>
              </w:tc>
              <w:tc>
                <w:tcPr>
                  <w:tcW w:w="568"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废水</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采出水</w:t>
                  </w:r>
                </w:p>
              </w:tc>
              <w:tc>
                <w:tcPr>
                  <w:tcW w:w="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石油类</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地面硬化、地基夯实、池底、池壁防渗等防渗措施</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w:t>
                  </w:r>
                </w:p>
              </w:tc>
              <w:tc>
                <w:tcPr>
                  <w:tcW w:w="1401"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27" w:type="dxa"/>
                  <w:vMerge w:val="continue"/>
                  <w:tcBorders>
                    <w:left w:val="single" w:color="auto" w:sz="4" w:space="0"/>
                    <w:right w:val="single" w:color="auto" w:sz="4" w:space="0"/>
                  </w:tcBorders>
                  <w:vAlign w:val="center"/>
                </w:tcPr>
                <w:p>
                  <w:pPr>
                    <w:snapToGrid w:val="0"/>
                    <w:jc w:val="center"/>
                    <w:rPr>
                      <w:color w:val="auto"/>
                      <w:szCs w:val="21"/>
                    </w:rPr>
                  </w:pPr>
                </w:p>
              </w:tc>
              <w:tc>
                <w:tcPr>
                  <w:tcW w:w="568"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噪声</w:t>
                  </w:r>
                </w:p>
              </w:tc>
              <w:tc>
                <w:tcPr>
                  <w:tcW w:w="135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color w:val="auto"/>
                      <w:szCs w:val="21"/>
                    </w:rPr>
                    <w:t>泵类</w:t>
                  </w:r>
                  <w:r>
                    <w:rPr>
                      <w:rFonts w:hint="eastAsia"/>
                      <w:color w:val="auto"/>
                      <w:szCs w:val="21"/>
                    </w:rPr>
                    <w:t>等设备</w:t>
                  </w:r>
                </w:p>
              </w:tc>
              <w:tc>
                <w:tcPr>
                  <w:tcW w:w="705"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噪声</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选用低噪声设备、基础减振等</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配套</w:t>
                  </w:r>
                </w:p>
              </w:tc>
              <w:tc>
                <w:tcPr>
                  <w:tcW w:w="1401"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27" w:type="dxa"/>
                  <w:vMerge w:val="continue"/>
                  <w:tcBorders>
                    <w:left w:val="single" w:color="auto" w:sz="4" w:space="0"/>
                    <w:right w:val="single" w:color="auto" w:sz="4" w:space="0"/>
                  </w:tcBorders>
                  <w:vAlign w:val="center"/>
                </w:tcPr>
                <w:p>
                  <w:pPr>
                    <w:snapToGrid w:val="0"/>
                    <w:jc w:val="center"/>
                    <w:rPr>
                      <w:color w:val="auto"/>
                      <w:szCs w:val="21"/>
                    </w:rPr>
                  </w:pPr>
                </w:p>
              </w:tc>
              <w:tc>
                <w:tcPr>
                  <w:tcW w:w="568" w:type="dxa"/>
                  <w:vMerge w:val="restart"/>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固废</w:t>
                  </w:r>
                </w:p>
              </w:tc>
              <w:tc>
                <w:tcPr>
                  <w:tcW w:w="205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含油污泥</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含油污泥进入污水污泥罐暂存，定期委托有资质单位外运处置</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w:t>
                  </w:r>
                </w:p>
              </w:tc>
              <w:tc>
                <w:tcPr>
                  <w:tcW w:w="1401"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27" w:type="dxa"/>
                  <w:vMerge w:val="continue"/>
                  <w:tcBorders>
                    <w:left w:val="single" w:color="auto" w:sz="4" w:space="0"/>
                    <w:right w:val="single" w:color="auto" w:sz="4" w:space="0"/>
                  </w:tcBorders>
                  <w:vAlign w:val="center"/>
                </w:tcPr>
                <w:p>
                  <w:pPr>
                    <w:snapToGrid w:val="0"/>
                    <w:jc w:val="center"/>
                    <w:rPr>
                      <w:color w:val="auto"/>
                      <w:szCs w:val="21"/>
                    </w:rPr>
                  </w:pPr>
                </w:p>
              </w:tc>
              <w:tc>
                <w:tcPr>
                  <w:tcW w:w="568" w:type="dxa"/>
                  <w:vMerge w:val="continue"/>
                  <w:tcBorders>
                    <w:left w:val="single" w:color="auto" w:sz="4" w:space="0"/>
                    <w:right w:val="single" w:color="auto" w:sz="4" w:space="0"/>
                  </w:tcBorders>
                  <w:vAlign w:val="center"/>
                </w:tcPr>
                <w:p>
                  <w:pPr>
                    <w:snapToGrid w:val="0"/>
                    <w:jc w:val="center"/>
                    <w:rPr>
                      <w:color w:val="auto"/>
                      <w:szCs w:val="21"/>
                    </w:rPr>
                  </w:pPr>
                </w:p>
              </w:tc>
              <w:tc>
                <w:tcPr>
                  <w:tcW w:w="205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废滤料</w:t>
                  </w:r>
                </w:p>
              </w:tc>
              <w:tc>
                <w:tcPr>
                  <w:tcW w:w="255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废滤料由设备厂家更换后回收，委托有资质单位处置，不在站内存放</w:t>
                  </w:r>
                </w:p>
              </w:tc>
              <w:tc>
                <w:tcPr>
                  <w:tcW w:w="8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w:t>
                  </w:r>
                </w:p>
              </w:tc>
              <w:tc>
                <w:tcPr>
                  <w:tcW w:w="1401" w:type="dxa"/>
                  <w:tcBorders>
                    <w:left w:val="single" w:color="auto" w:sz="4" w:space="0"/>
                    <w:right w:val="single" w:color="auto" w:sz="4" w:space="0"/>
                  </w:tcBorders>
                  <w:vAlign w:val="center"/>
                </w:tcPr>
                <w:p>
                  <w:pPr>
                    <w:snapToGrid w:val="0"/>
                    <w:jc w:val="center"/>
                    <w:rPr>
                      <w:color w:val="auto"/>
                      <w:szCs w:val="21"/>
                    </w:rPr>
                  </w:pPr>
                  <w:r>
                    <w:rPr>
                      <w:rFonts w:hint="eastAsia"/>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152" w:type="dxa"/>
                  <w:gridSpan w:val="4"/>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合计</w:t>
                  </w:r>
                </w:p>
              </w:tc>
              <w:tc>
                <w:tcPr>
                  <w:tcW w:w="482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rPr>
                  </w:pPr>
                  <w:r>
                    <w:rPr>
                      <w:rFonts w:hint="eastAsia"/>
                      <w:color w:val="auto"/>
                      <w:szCs w:val="21"/>
                    </w:rPr>
                    <w:t>35.7</w:t>
                  </w:r>
                </w:p>
              </w:tc>
            </w:tr>
          </w:tbl>
          <w:p>
            <w:pPr>
              <w:pStyle w:val="11"/>
              <w:jc w:val="both"/>
              <w:rPr>
                <w:bCs/>
                <w:color w:val="auto"/>
                <w:spacing w:val="-10"/>
                <w:szCs w:val="21"/>
              </w:rPr>
            </w:pPr>
          </w:p>
        </w:tc>
      </w:tr>
      <w:bookmarkEnd w:id="0"/>
    </w:tbl>
    <w:p>
      <w:pPr>
        <w:rPr>
          <w:rFonts w:hAnsi="黑体" w:eastAsia="黑体"/>
          <w:snapToGrid w:val="0"/>
          <w:color w:val="auto"/>
          <w:sz w:val="30"/>
          <w:szCs w:val="30"/>
        </w:rPr>
        <w:sectPr>
          <w:pgSz w:w="11906" w:h="16838"/>
          <w:pgMar w:top="1701" w:right="1531" w:bottom="1701" w:left="1531" w:header="851" w:footer="851" w:gutter="0"/>
          <w:cols w:space="720" w:num="1"/>
          <w:docGrid w:linePitch="312" w:charSpace="0"/>
        </w:sectPr>
      </w:pPr>
    </w:p>
    <w:p>
      <w:pPr>
        <w:pStyle w:val="30"/>
        <w:jc w:val="center"/>
        <w:outlineLvl w:val="0"/>
        <w:rPr>
          <w:rFonts w:ascii="Times New Roman" w:hAnsi="Times New Roman" w:eastAsia="黑体"/>
          <w:snapToGrid w:val="0"/>
          <w:color w:val="auto"/>
          <w:sz w:val="30"/>
          <w:szCs w:val="30"/>
        </w:rPr>
      </w:pPr>
      <w:r>
        <w:rPr>
          <w:rFonts w:ascii="Times New Roman" w:hAnsi="黑体" w:eastAsia="黑体"/>
          <w:snapToGrid w:val="0"/>
          <w:color w:val="auto"/>
          <w:sz w:val="30"/>
          <w:szCs w:val="30"/>
        </w:rPr>
        <w:t>五、</w:t>
      </w:r>
      <w:bookmarkStart w:id="3" w:name="_Hlk54167917"/>
      <w:r>
        <w:rPr>
          <w:rFonts w:ascii="Times New Roman" w:hAnsi="黑体" w:eastAsia="黑体"/>
          <w:snapToGrid w:val="0"/>
          <w:color w:val="auto"/>
          <w:sz w:val="30"/>
          <w:szCs w:val="30"/>
        </w:rPr>
        <w:t>环境保护措施监督检查清单</w:t>
      </w:r>
      <w:bookmarkEnd w:id="3"/>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49"/>
        <w:gridCol w:w="6"/>
        <w:gridCol w:w="1485"/>
        <w:gridCol w:w="2051"/>
        <w:gridCol w:w="17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rPr>
                <w:color w:val="auto"/>
                <w:sz w:val="24"/>
              </w:rPr>
            </w:pPr>
            <w:r>
              <w:rPr>
                <w:rFonts w:hAnsi="宋体"/>
                <w:color w:val="auto"/>
                <w:sz w:val="24"/>
              </w:rPr>
              <w:t>内容</w:t>
            </w:r>
          </w:p>
          <w:p>
            <w:pPr>
              <w:adjustRightInd w:val="0"/>
              <w:snapToGrid w:val="0"/>
              <w:rPr>
                <w:color w:val="auto"/>
                <w:sz w:val="24"/>
              </w:rPr>
            </w:pPr>
            <w:r>
              <w:rPr>
                <w:rFonts w:hAnsi="宋体"/>
                <w:color w:val="auto"/>
                <w:sz w:val="24"/>
              </w:rPr>
              <w:t>要素</w:t>
            </w:r>
          </w:p>
        </w:tc>
        <w:tc>
          <w:tcPr>
            <w:tcW w:w="1755" w:type="dxa"/>
            <w:gridSpan w:val="2"/>
            <w:vAlign w:val="center"/>
          </w:tcPr>
          <w:p>
            <w:pPr>
              <w:adjustRightInd w:val="0"/>
              <w:snapToGrid w:val="0"/>
              <w:jc w:val="center"/>
              <w:rPr>
                <w:color w:val="auto"/>
                <w:sz w:val="24"/>
              </w:rPr>
            </w:pPr>
            <w:r>
              <w:rPr>
                <w:rFonts w:hAnsi="宋体"/>
                <w:color w:val="auto"/>
                <w:sz w:val="24"/>
              </w:rPr>
              <w:t>排放口</w:t>
            </w:r>
            <w:r>
              <w:rPr>
                <w:color w:val="auto"/>
                <w:sz w:val="24"/>
              </w:rPr>
              <w:t>(</w:t>
            </w:r>
            <w:r>
              <w:rPr>
                <w:rFonts w:hAnsi="宋体"/>
                <w:color w:val="auto"/>
                <w:sz w:val="24"/>
              </w:rPr>
              <w:t>编号、</w:t>
            </w:r>
          </w:p>
          <w:p>
            <w:pPr>
              <w:adjustRightInd w:val="0"/>
              <w:snapToGrid w:val="0"/>
              <w:jc w:val="center"/>
              <w:rPr>
                <w:color w:val="auto"/>
                <w:sz w:val="24"/>
              </w:rPr>
            </w:pPr>
            <w:r>
              <w:rPr>
                <w:rFonts w:hAnsi="宋体"/>
                <w:color w:val="auto"/>
                <w:sz w:val="24"/>
              </w:rPr>
              <w:t>名称</w:t>
            </w:r>
            <w:r>
              <w:rPr>
                <w:color w:val="auto"/>
                <w:sz w:val="24"/>
              </w:rPr>
              <w:t>)/</w:t>
            </w:r>
            <w:r>
              <w:rPr>
                <w:rFonts w:hAnsi="宋体"/>
                <w:color w:val="auto"/>
                <w:sz w:val="24"/>
              </w:rPr>
              <w:t>污染源</w:t>
            </w:r>
          </w:p>
        </w:tc>
        <w:tc>
          <w:tcPr>
            <w:tcW w:w="1485" w:type="dxa"/>
            <w:vAlign w:val="center"/>
          </w:tcPr>
          <w:p>
            <w:pPr>
              <w:adjustRightInd w:val="0"/>
              <w:snapToGrid w:val="0"/>
              <w:jc w:val="center"/>
              <w:rPr>
                <w:color w:val="auto"/>
                <w:sz w:val="24"/>
              </w:rPr>
            </w:pPr>
            <w:r>
              <w:rPr>
                <w:rFonts w:hAnsi="宋体"/>
                <w:color w:val="auto"/>
                <w:sz w:val="24"/>
              </w:rPr>
              <w:t>污染物项目</w:t>
            </w:r>
          </w:p>
        </w:tc>
        <w:tc>
          <w:tcPr>
            <w:tcW w:w="2051" w:type="dxa"/>
            <w:vAlign w:val="center"/>
          </w:tcPr>
          <w:p>
            <w:pPr>
              <w:adjustRightInd w:val="0"/>
              <w:snapToGrid w:val="0"/>
              <w:jc w:val="center"/>
              <w:rPr>
                <w:color w:val="auto"/>
                <w:sz w:val="24"/>
              </w:rPr>
            </w:pPr>
            <w:r>
              <w:rPr>
                <w:rFonts w:hAnsi="宋体"/>
                <w:color w:val="auto"/>
                <w:sz w:val="24"/>
              </w:rPr>
              <w:t>环境保护措施</w:t>
            </w:r>
          </w:p>
        </w:tc>
        <w:tc>
          <w:tcPr>
            <w:tcW w:w="1736" w:type="dxa"/>
            <w:vAlign w:val="center"/>
          </w:tcPr>
          <w:p>
            <w:pPr>
              <w:adjustRightInd w:val="0"/>
              <w:snapToGrid w:val="0"/>
              <w:jc w:val="center"/>
              <w:rPr>
                <w:color w:val="auto"/>
                <w:sz w:val="24"/>
              </w:rPr>
            </w:pPr>
            <w:r>
              <w:rPr>
                <w:rFonts w:hAnsi="宋体"/>
                <w:color w:val="auto"/>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6" w:hRule="atLeast"/>
          <w:jc w:val="center"/>
        </w:trPr>
        <w:tc>
          <w:tcPr>
            <w:tcW w:w="1778" w:type="dxa"/>
            <w:vAlign w:val="center"/>
          </w:tcPr>
          <w:p>
            <w:pPr>
              <w:adjustRightInd w:val="0"/>
              <w:snapToGrid w:val="0"/>
              <w:jc w:val="center"/>
              <w:rPr>
                <w:rFonts w:hAnsi="宋体"/>
                <w:color w:val="auto"/>
                <w:sz w:val="24"/>
              </w:rPr>
            </w:pPr>
            <w:r>
              <w:rPr>
                <w:rFonts w:hAnsi="宋体"/>
                <w:color w:val="auto"/>
                <w:sz w:val="24"/>
              </w:rPr>
              <w:t>大气环境</w:t>
            </w:r>
          </w:p>
        </w:tc>
        <w:tc>
          <w:tcPr>
            <w:tcW w:w="1755" w:type="dxa"/>
            <w:gridSpan w:val="2"/>
            <w:vAlign w:val="center"/>
          </w:tcPr>
          <w:p>
            <w:pPr>
              <w:adjustRightInd w:val="0"/>
              <w:snapToGrid w:val="0"/>
              <w:jc w:val="center"/>
              <w:rPr>
                <w:rFonts w:hAnsi="宋体"/>
                <w:color w:val="auto"/>
                <w:sz w:val="24"/>
              </w:rPr>
            </w:pPr>
            <w:r>
              <w:rPr>
                <w:rFonts w:hint="eastAsia" w:hAnsi="宋体"/>
                <w:color w:val="auto"/>
                <w:sz w:val="24"/>
              </w:rPr>
              <w:t>站场</w:t>
            </w:r>
          </w:p>
        </w:tc>
        <w:tc>
          <w:tcPr>
            <w:tcW w:w="1485" w:type="dxa"/>
            <w:vAlign w:val="center"/>
          </w:tcPr>
          <w:p>
            <w:pPr>
              <w:adjustRightInd w:val="0"/>
              <w:snapToGrid w:val="0"/>
              <w:jc w:val="center"/>
              <w:rPr>
                <w:rFonts w:hAnsi="宋体"/>
                <w:color w:val="auto"/>
                <w:sz w:val="24"/>
              </w:rPr>
            </w:pPr>
            <w:r>
              <w:rPr>
                <w:rFonts w:hAnsi="宋体"/>
                <w:color w:val="auto"/>
                <w:sz w:val="24"/>
              </w:rPr>
              <w:t>非甲烷总烃</w:t>
            </w:r>
          </w:p>
        </w:tc>
        <w:tc>
          <w:tcPr>
            <w:tcW w:w="2051" w:type="dxa"/>
            <w:vAlign w:val="center"/>
          </w:tcPr>
          <w:p>
            <w:pPr>
              <w:adjustRightInd w:val="0"/>
              <w:snapToGrid w:val="0"/>
              <w:jc w:val="center"/>
              <w:rPr>
                <w:rFonts w:hAnsi="宋体"/>
                <w:color w:val="auto"/>
                <w:sz w:val="24"/>
              </w:rPr>
            </w:pPr>
            <w:r>
              <w:rPr>
                <w:rFonts w:hint="eastAsia" w:hAnsi="宋体"/>
                <w:color w:val="auto"/>
                <w:sz w:val="24"/>
              </w:rPr>
              <w:t>卸水池、缓冲水池、三级撬装设备、污水污泥罐等设施均采取密闭措施，有效减小非甲烷总烃无组织排放</w:t>
            </w:r>
          </w:p>
        </w:tc>
        <w:tc>
          <w:tcPr>
            <w:tcW w:w="1736" w:type="dxa"/>
            <w:vAlign w:val="center"/>
          </w:tcPr>
          <w:p>
            <w:pPr>
              <w:adjustRightInd w:val="0"/>
              <w:snapToGrid w:val="0"/>
              <w:jc w:val="center"/>
              <w:rPr>
                <w:rFonts w:hAnsi="宋体"/>
                <w:color w:val="auto"/>
                <w:sz w:val="24"/>
              </w:rPr>
            </w:pPr>
            <w:r>
              <w:rPr>
                <w:rFonts w:hAnsi="宋体"/>
                <w:color w:val="auto"/>
                <w:sz w:val="24"/>
              </w:rPr>
              <w:t>厂界执行《陆上石油天然气开采工业大气污染物排放标准》(GB39728-2020)中企业边界污染物控制要求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hAnsi="宋体"/>
                <w:color w:val="auto"/>
                <w:sz w:val="24"/>
              </w:rPr>
            </w:pPr>
            <w:r>
              <w:rPr>
                <w:rFonts w:hAnsi="宋体"/>
                <w:color w:val="auto"/>
                <w:sz w:val="24"/>
              </w:rPr>
              <w:t>地表水环境</w:t>
            </w:r>
          </w:p>
        </w:tc>
        <w:tc>
          <w:tcPr>
            <w:tcW w:w="1755" w:type="dxa"/>
            <w:gridSpan w:val="2"/>
            <w:vAlign w:val="center"/>
          </w:tcPr>
          <w:p>
            <w:pPr>
              <w:adjustRightInd w:val="0"/>
              <w:snapToGrid w:val="0"/>
              <w:jc w:val="center"/>
              <w:rPr>
                <w:rFonts w:hAnsi="宋体"/>
                <w:color w:val="auto"/>
                <w:sz w:val="24"/>
              </w:rPr>
            </w:pPr>
            <w:r>
              <w:rPr>
                <w:rFonts w:hint="eastAsia" w:hAnsi="宋体"/>
                <w:color w:val="auto"/>
                <w:sz w:val="24"/>
              </w:rPr>
              <w:t>/</w:t>
            </w:r>
          </w:p>
        </w:tc>
        <w:tc>
          <w:tcPr>
            <w:tcW w:w="1485" w:type="dxa"/>
            <w:vAlign w:val="center"/>
          </w:tcPr>
          <w:p>
            <w:pPr>
              <w:adjustRightInd w:val="0"/>
              <w:snapToGrid w:val="0"/>
              <w:jc w:val="center"/>
              <w:rPr>
                <w:rFonts w:hAnsi="宋体"/>
                <w:color w:val="auto"/>
                <w:sz w:val="24"/>
              </w:rPr>
            </w:pPr>
            <w:r>
              <w:rPr>
                <w:rFonts w:hint="eastAsia" w:hAnsi="宋体"/>
                <w:color w:val="auto"/>
                <w:sz w:val="24"/>
              </w:rPr>
              <w:t>/</w:t>
            </w:r>
          </w:p>
        </w:tc>
        <w:tc>
          <w:tcPr>
            <w:tcW w:w="2051" w:type="dxa"/>
            <w:vAlign w:val="center"/>
          </w:tcPr>
          <w:p>
            <w:pPr>
              <w:adjustRightInd w:val="0"/>
              <w:snapToGrid w:val="0"/>
              <w:jc w:val="center"/>
              <w:rPr>
                <w:rFonts w:hAnsi="宋体"/>
                <w:color w:val="auto"/>
                <w:sz w:val="24"/>
              </w:rPr>
            </w:pPr>
            <w:r>
              <w:rPr>
                <w:rFonts w:hint="eastAsia" w:hAnsi="宋体"/>
                <w:color w:val="auto"/>
                <w:sz w:val="24"/>
              </w:rPr>
              <w:t>/</w:t>
            </w:r>
          </w:p>
        </w:tc>
        <w:tc>
          <w:tcPr>
            <w:tcW w:w="1736" w:type="dxa"/>
            <w:vAlign w:val="center"/>
          </w:tcPr>
          <w:p>
            <w:pPr>
              <w:adjustRightInd w:val="0"/>
              <w:snapToGrid w:val="0"/>
              <w:jc w:val="center"/>
              <w:rPr>
                <w:rFonts w:hAnsi="宋体"/>
                <w:color w:val="auto"/>
                <w:sz w:val="24"/>
              </w:rPr>
            </w:pPr>
            <w:r>
              <w:rPr>
                <w:rFonts w:hint="eastAsia" w:hAnsi="宋体"/>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hAnsi="宋体"/>
                <w:color w:val="auto"/>
                <w:sz w:val="24"/>
              </w:rPr>
            </w:pPr>
            <w:r>
              <w:rPr>
                <w:rFonts w:hAnsi="宋体"/>
                <w:color w:val="auto"/>
                <w:sz w:val="24"/>
              </w:rPr>
              <w:t>声环境</w:t>
            </w:r>
          </w:p>
        </w:tc>
        <w:tc>
          <w:tcPr>
            <w:tcW w:w="1755" w:type="dxa"/>
            <w:gridSpan w:val="2"/>
            <w:vAlign w:val="center"/>
          </w:tcPr>
          <w:p>
            <w:pPr>
              <w:adjustRightInd w:val="0"/>
              <w:snapToGrid w:val="0"/>
              <w:jc w:val="center"/>
              <w:rPr>
                <w:rFonts w:hAnsi="宋体"/>
                <w:color w:val="auto"/>
                <w:sz w:val="24"/>
                <w:lang w:val="zh-CN"/>
              </w:rPr>
            </w:pPr>
            <w:r>
              <w:rPr>
                <w:rFonts w:hint="eastAsia" w:hAnsi="宋体"/>
                <w:color w:val="auto"/>
                <w:sz w:val="24"/>
              </w:rPr>
              <w:t>站场</w:t>
            </w:r>
          </w:p>
        </w:tc>
        <w:tc>
          <w:tcPr>
            <w:tcW w:w="1485" w:type="dxa"/>
            <w:vAlign w:val="center"/>
          </w:tcPr>
          <w:p>
            <w:pPr>
              <w:adjustRightInd w:val="0"/>
              <w:snapToGrid w:val="0"/>
              <w:jc w:val="center"/>
              <w:rPr>
                <w:rFonts w:hAnsi="宋体"/>
                <w:color w:val="auto"/>
                <w:sz w:val="24"/>
              </w:rPr>
            </w:pPr>
            <w:r>
              <w:rPr>
                <w:rFonts w:hint="eastAsia" w:hAnsi="宋体"/>
                <w:color w:val="auto"/>
                <w:sz w:val="24"/>
              </w:rPr>
              <w:t>机械设备噪声</w:t>
            </w:r>
          </w:p>
        </w:tc>
        <w:tc>
          <w:tcPr>
            <w:tcW w:w="2051" w:type="dxa"/>
            <w:vAlign w:val="center"/>
          </w:tcPr>
          <w:p>
            <w:pPr>
              <w:adjustRightInd w:val="0"/>
              <w:snapToGrid w:val="0"/>
              <w:jc w:val="center"/>
              <w:rPr>
                <w:rFonts w:hAnsi="宋体"/>
                <w:color w:val="auto"/>
                <w:sz w:val="24"/>
                <w:lang w:val="zh-CN"/>
              </w:rPr>
            </w:pPr>
            <w:r>
              <w:rPr>
                <w:rFonts w:hint="eastAsia" w:hAnsi="宋体"/>
                <w:color w:val="auto"/>
                <w:sz w:val="24"/>
              </w:rPr>
              <w:t>选用低噪声设备、合理布局、基础</w:t>
            </w:r>
            <w:r>
              <w:rPr>
                <w:rFonts w:hAnsi="宋体"/>
                <w:color w:val="auto"/>
                <w:sz w:val="24"/>
              </w:rPr>
              <w:t>减振、绿化等综合降噪措施</w:t>
            </w:r>
          </w:p>
        </w:tc>
        <w:tc>
          <w:tcPr>
            <w:tcW w:w="1736" w:type="dxa"/>
            <w:vAlign w:val="center"/>
          </w:tcPr>
          <w:p>
            <w:pPr>
              <w:adjustRightInd w:val="0"/>
              <w:snapToGrid w:val="0"/>
              <w:jc w:val="center"/>
              <w:rPr>
                <w:rFonts w:hAnsi="宋体"/>
                <w:color w:val="auto"/>
                <w:sz w:val="24"/>
              </w:rPr>
            </w:pPr>
            <w:r>
              <w:rPr>
                <w:rFonts w:hAnsi="宋体"/>
                <w:color w:val="auto"/>
                <w:sz w:val="24"/>
              </w:rPr>
              <w:t>《声环境质量标准》（GB3096-2008）</w:t>
            </w:r>
            <w:r>
              <w:rPr>
                <w:rFonts w:hint="eastAsia" w:hAnsi="宋体"/>
                <w:color w:val="auto"/>
                <w:sz w:val="24"/>
              </w:rPr>
              <w:t>2</w:t>
            </w:r>
            <w:r>
              <w:rPr>
                <w:rFonts w:hAnsi="宋体"/>
                <w:color w:val="auto"/>
                <w:sz w:val="24"/>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rFonts w:hAnsi="宋体"/>
                <w:color w:val="auto"/>
                <w:sz w:val="24"/>
              </w:rPr>
            </w:pPr>
            <w:r>
              <w:rPr>
                <w:rFonts w:hAnsi="宋体"/>
                <w:color w:val="auto"/>
                <w:sz w:val="24"/>
              </w:rPr>
              <w:t>电磁辐射</w:t>
            </w:r>
          </w:p>
        </w:tc>
        <w:tc>
          <w:tcPr>
            <w:tcW w:w="1755" w:type="dxa"/>
            <w:gridSpan w:val="2"/>
            <w:vAlign w:val="center"/>
          </w:tcPr>
          <w:p>
            <w:pPr>
              <w:adjustRightInd w:val="0"/>
              <w:snapToGrid w:val="0"/>
              <w:jc w:val="center"/>
              <w:rPr>
                <w:rFonts w:hAnsi="宋体"/>
                <w:color w:val="auto"/>
                <w:sz w:val="24"/>
              </w:rPr>
            </w:pPr>
            <w:r>
              <w:rPr>
                <w:rFonts w:hint="eastAsia" w:hAnsi="宋体"/>
                <w:color w:val="auto"/>
                <w:sz w:val="24"/>
              </w:rPr>
              <w:t>/</w:t>
            </w:r>
          </w:p>
        </w:tc>
        <w:tc>
          <w:tcPr>
            <w:tcW w:w="1485" w:type="dxa"/>
            <w:vAlign w:val="center"/>
          </w:tcPr>
          <w:p>
            <w:pPr>
              <w:adjustRightInd w:val="0"/>
              <w:snapToGrid w:val="0"/>
              <w:jc w:val="center"/>
              <w:rPr>
                <w:rFonts w:hAnsi="宋体"/>
                <w:color w:val="auto"/>
                <w:sz w:val="24"/>
              </w:rPr>
            </w:pPr>
            <w:r>
              <w:rPr>
                <w:rFonts w:hint="eastAsia" w:hAnsi="宋体"/>
                <w:color w:val="auto"/>
                <w:sz w:val="24"/>
              </w:rPr>
              <w:t>/</w:t>
            </w:r>
          </w:p>
        </w:tc>
        <w:tc>
          <w:tcPr>
            <w:tcW w:w="2051" w:type="dxa"/>
            <w:vAlign w:val="center"/>
          </w:tcPr>
          <w:p>
            <w:pPr>
              <w:adjustRightInd w:val="0"/>
              <w:snapToGrid w:val="0"/>
              <w:jc w:val="center"/>
              <w:rPr>
                <w:rFonts w:hAnsi="宋体"/>
                <w:color w:val="auto"/>
                <w:sz w:val="24"/>
              </w:rPr>
            </w:pPr>
            <w:r>
              <w:rPr>
                <w:rFonts w:hint="eastAsia" w:hAnsi="宋体"/>
                <w:color w:val="auto"/>
                <w:sz w:val="24"/>
              </w:rPr>
              <w:t>/</w:t>
            </w:r>
          </w:p>
        </w:tc>
        <w:tc>
          <w:tcPr>
            <w:tcW w:w="1736" w:type="dxa"/>
            <w:vAlign w:val="center"/>
          </w:tcPr>
          <w:p>
            <w:pPr>
              <w:adjustRightInd w:val="0"/>
              <w:snapToGrid w:val="0"/>
              <w:jc w:val="center"/>
              <w:rPr>
                <w:rFonts w:hAnsi="宋体"/>
                <w:color w:val="auto"/>
                <w:sz w:val="24"/>
              </w:rPr>
            </w:pPr>
            <w:r>
              <w:rPr>
                <w:rFonts w:hint="eastAsia" w:hAnsi="宋体"/>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778" w:type="dxa"/>
            <w:vMerge w:val="restart"/>
            <w:vAlign w:val="center"/>
          </w:tcPr>
          <w:p>
            <w:pPr>
              <w:adjustRightInd w:val="0"/>
              <w:snapToGrid w:val="0"/>
              <w:jc w:val="center"/>
              <w:rPr>
                <w:rFonts w:hAnsi="宋体"/>
                <w:color w:val="auto"/>
                <w:sz w:val="24"/>
              </w:rPr>
            </w:pPr>
            <w:r>
              <w:rPr>
                <w:rFonts w:hAnsi="宋体"/>
                <w:color w:val="auto"/>
                <w:sz w:val="24"/>
              </w:rPr>
              <w:t>固体废物</w:t>
            </w:r>
          </w:p>
        </w:tc>
        <w:tc>
          <w:tcPr>
            <w:tcW w:w="1749" w:type="dxa"/>
            <w:vMerge w:val="restart"/>
            <w:vAlign w:val="center"/>
          </w:tcPr>
          <w:p>
            <w:pPr>
              <w:adjustRightInd w:val="0"/>
              <w:snapToGrid w:val="0"/>
              <w:jc w:val="center"/>
              <w:rPr>
                <w:rFonts w:hAnsi="宋体"/>
                <w:color w:val="auto"/>
                <w:sz w:val="24"/>
              </w:rPr>
            </w:pPr>
            <w:r>
              <w:rPr>
                <w:rFonts w:hint="eastAsia" w:hAnsi="宋体"/>
                <w:color w:val="auto"/>
                <w:sz w:val="24"/>
              </w:rPr>
              <w:t>站场</w:t>
            </w:r>
          </w:p>
        </w:tc>
        <w:tc>
          <w:tcPr>
            <w:tcW w:w="1491" w:type="dxa"/>
            <w:gridSpan w:val="2"/>
            <w:tcBorders>
              <w:bottom w:val="single" w:color="auto" w:sz="4" w:space="0"/>
            </w:tcBorders>
            <w:vAlign w:val="center"/>
          </w:tcPr>
          <w:p>
            <w:pPr>
              <w:adjustRightInd w:val="0"/>
              <w:snapToGrid w:val="0"/>
              <w:jc w:val="center"/>
              <w:rPr>
                <w:rFonts w:hAnsi="宋体"/>
                <w:color w:val="auto"/>
                <w:sz w:val="24"/>
              </w:rPr>
            </w:pPr>
            <w:r>
              <w:rPr>
                <w:rFonts w:hint="eastAsia" w:hAnsi="宋体"/>
                <w:color w:val="auto"/>
                <w:sz w:val="24"/>
              </w:rPr>
              <w:t>含油污泥</w:t>
            </w:r>
          </w:p>
        </w:tc>
        <w:tc>
          <w:tcPr>
            <w:tcW w:w="2051" w:type="dxa"/>
            <w:tcBorders>
              <w:bottom w:val="single" w:color="auto" w:sz="4" w:space="0"/>
            </w:tcBorders>
            <w:vAlign w:val="center"/>
          </w:tcPr>
          <w:p>
            <w:pPr>
              <w:adjustRightInd w:val="0"/>
              <w:snapToGrid w:val="0"/>
              <w:jc w:val="center"/>
              <w:rPr>
                <w:rFonts w:hAnsi="宋体"/>
                <w:color w:val="auto"/>
                <w:sz w:val="24"/>
              </w:rPr>
            </w:pPr>
            <w:r>
              <w:rPr>
                <w:rFonts w:hint="eastAsia" w:hAnsi="宋体"/>
                <w:color w:val="auto"/>
                <w:sz w:val="24"/>
              </w:rPr>
              <w:t>含油污泥进入污水污泥罐暂存，定期委托有资质单位外运处置</w:t>
            </w:r>
          </w:p>
        </w:tc>
        <w:tc>
          <w:tcPr>
            <w:tcW w:w="1736" w:type="dxa"/>
            <w:vMerge w:val="restart"/>
            <w:vAlign w:val="center"/>
          </w:tcPr>
          <w:p>
            <w:pPr>
              <w:adjustRightInd w:val="0"/>
              <w:snapToGrid w:val="0"/>
              <w:jc w:val="center"/>
              <w:rPr>
                <w:rFonts w:hAnsi="宋体"/>
                <w:color w:val="auto"/>
                <w:sz w:val="24"/>
              </w:rPr>
            </w:pPr>
            <w:r>
              <w:rPr>
                <w:rFonts w:hAnsi="宋体"/>
                <w:color w:val="auto"/>
                <w:sz w:val="24"/>
              </w:rPr>
              <w:t>处置率100%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78" w:type="dxa"/>
            <w:vMerge w:val="continue"/>
            <w:vAlign w:val="center"/>
          </w:tcPr>
          <w:p>
            <w:pPr>
              <w:adjustRightInd w:val="0"/>
              <w:snapToGrid w:val="0"/>
              <w:jc w:val="center"/>
              <w:rPr>
                <w:rFonts w:hAnsi="宋体"/>
                <w:color w:val="auto"/>
                <w:sz w:val="24"/>
              </w:rPr>
            </w:pPr>
          </w:p>
        </w:tc>
        <w:tc>
          <w:tcPr>
            <w:tcW w:w="1749" w:type="dxa"/>
            <w:vMerge w:val="continue"/>
            <w:vAlign w:val="center"/>
          </w:tcPr>
          <w:p>
            <w:pPr>
              <w:adjustRightInd w:val="0"/>
              <w:snapToGrid w:val="0"/>
              <w:jc w:val="center"/>
              <w:rPr>
                <w:rFonts w:hAnsi="宋体"/>
                <w:color w:val="auto"/>
                <w:sz w:val="24"/>
              </w:rPr>
            </w:pPr>
          </w:p>
        </w:tc>
        <w:tc>
          <w:tcPr>
            <w:tcW w:w="1491" w:type="dxa"/>
            <w:gridSpan w:val="2"/>
            <w:tcBorders>
              <w:top w:val="single" w:color="auto" w:sz="4" w:space="0"/>
            </w:tcBorders>
            <w:vAlign w:val="center"/>
          </w:tcPr>
          <w:p>
            <w:pPr>
              <w:adjustRightInd w:val="0"/>
              <w:snapToGrid w:val="0"/>
              <w:jc w:val="center"/>
              <w:rPr>
                <w:rFonts w:hAnsi="宋体"/>
                <w:color w:val="auto"/>
                <w:sz w:val="24"/>
              </w:rPr>
            </w:pPr>
            <w:r>
              <w:rPr>
                <w:rFonts w:hint="eastAsia" w:hAnsi="宋体"/>
                <w:color w:val="auto"/>
                <w:sz w:val="24"/>
              </w:rPr>
              <w:t>废滤料</w:t>
            </w:r>
          </w:p>
        </w:tc>
        <w:tc>
          <w:tcPr>
            <w:tcW w:w="2051" w:type="dxa"/>
            <w:tcBorders>
              <w:top w:val="single" w:color="auto" w:sz="4" w:space="0"/>
            </w:tcBorders>
            <w:vAlign w:val="center"/>
          </w:tcPr>
          <w:p>
            <w:pPr>
              <w:adjustRightInd w:val="0"/>
              <w:snapToGrid w:val="0"/>
              <w:jc w:val="center"/>
              <w:rPr>
                <w:rFonts w:hAnsi="宋体"/>
                <w:color w:val="auto"/>
                <w:sz w:val="24"/>
              </w:rPr>
            </w:pPr>
            <w:r>
              <w:rPr>
                <w:rFonts w:hint="eastAsia" w:hAnsi="宋体"/>
                <w:color w:val="auto"/>
                <w:sz w:val="24"/>
              </w:rPr>
              <w:t>废滤料由设备厂家更换后回收，委托有资质单位处置</w:t>
            </w:r>
            <w:r>
              <w:rPr>
                <w:rFonts w:hAnsi="宋体"/>
                <w:color w:val="auto"/>
                <w:sz w:val="24"/>
              </w:rPr>
              <w:t>，不在站内存放</w:t>
            </w:r>
          </w:p>
        </w:tc>
        <w:tc>
          <w:tcPr>
            <w:tcW w:w="1736" w:type="dxa"/>
            <w:vMerge w:val="continue"/>
            <w:vAlign w:val="center"/>
          </w:tcPr>
          <w:p>
            <w:pPr>
              <w:adjustRightInd w:val="0"/>
              <w:snapToGrid w:val="0"/>
              <w:jc w:val="center"/>
              <w:rPr>
                <w:rFonts w:hAnsi="宋体"/>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778" w:type="dxa"/>
            <w:vAlign w:val="center"/>
          </w:tcPr>
          <w:p>
            <w:pPr>
              <w:adjustRightInd w:val="0"/>
              <w:snapToGrid w:val="0"/>
              <w:jc w:val="center"/>
              <w:rPr>
                <w:rFonts w:hAnsi="宋体"/>
                <w:color w:val="auto"/>
                <w:sz w:val="24"/>
              </w:rPr>
            </w:pPr>
            <w:r>
              <w:rPr>
                <w:rFonts w:hint="eastAsia" w:hAnsi="宋体"/>
                <w:color w:val="auto"/>
                <w:sz w:val="24"/>
              </w:rPr>
              <w:t>土壤及地下水</w:t>
            </w:r>
          </w:p>
          <w:p>
            <w:pPr>
              <w:adjustRightInd w:val="0"/>
              <w:snapToGrid w:val="0"/>
              <w:jc w:val="center"/>
              <w:rPr>
                <w:rFonts w:hAnsi="宋体"/>
                <w:color w:val="auto"/>
                <w:sz w:val="24"/>
              </w:rPr>
            </w:pPr>
            <w:r>
              <w:rPr>
                <w:rFonts w:hint="eastAsia" w:hAnsi="宋体"/>
                <w:color w:val="auto"/>
                <w:sz w:val="24"/>
              </w:rPr>
              <w:t>污染防治措施</w:t>
            </w:r>
          </w:p>
        </w:tc>
        <w:tc>
          <w:tcPr>
            <w:tcW w:w="7027" w:type="dxa"/>
            <w:gridSpan w:val="5"/>
            <w:vAlign w:val="center"/>
          </w:tcPr>
          <w:p>
            <w:pPr>
              <w:adjustRightInd w:val="0"/>
              <w:snapToGrid w:val="0"/>
              <w:jc w:val="center"/>
              <w:rPr>
                <w:rFonts w:hAnsi="宋体"/>
                <w:color w:val="auto"/>
                <w:sz w:val="24"/>
              </w:rPr>
            </w:pPr>
            <w:r>
              <w:rPr>
                <w:rFonts w:hint="eastAsia" w:hAnsi="宋体"/>
                <w:color w:val="auto"/>
                <w:sz w:val="24"/>
              </w:rPr>
              <w:t>项目应选用优质设备和管件，并加强日常管理和维修维护工作，池体做好防渗，防止和减少跑冒滴漏现象的发生。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778" w:type="dxa"/>
            <w:vAlign w:val="center"/>
          </w:tcPr>
          <w:p>
            <w:pPr>
              <w:adjustRightInd w:val="0"/>
              <w:snapToGrid w:val="0"/>
              <w:jc w:val="center"/>
              <w:rPr>
                <w:rFonts w:hAnsi="宋体"/>
                <w:color w:val="auto"/>
                <w:sz w:val="24"/>
              </w:rPr>
            </w:pPr>
            <w:r>
              <w:rPr>
                <w:rFonts w:hint="eastAsia" w:hAnsi="宋体"/>
                <w:color w:val="auto"/>
                <w:sz w:val="24"/>
              </w:rPr>
              <w:t>生态保护措施</w:t>
            </w:r>
          </w:p>
        </w:tc>
        <w:tc>
          <w:tcPr>
            <w:tcW w:w="7027" w:type="dxa"/>
            <w:gridSpan w:val="5"/>
            <w:vAlign w:val="center"/>
          </w:tcPr>
          <w:p>
            <w:pPr>
              <w:adjustRightInd w:val="0"/>
              <w:snapToGrid w:val="0"/>
              <w:jc w:val="center"/>
              <w:rPr>
                <w:rFonts w:hAnsi="宋体"/>
                <w:color w:val="auto"/>
                <w:sz w:val="24"/>
              </w:rPr>
            </w:pPr>
            <w:r>
              <w:rPr>
                <w:rFonts w:hint="eastAsia" w:hAnsi="宋体"/>
                <w:color w:val="auto"/>
                <w:sz w:val="24"/>
              </w:rPr>
              <w:t>施工后应对项目厂界及附近裸土地实施绿化恢复措施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Align w:val="center"/>
          </w:tcPr>
          <w:p>
            <w:pPr>
              <w:adjustRightInd w:val="0"/>
              <w:snapToGrid w:val="0"/>
              <w:jc w:val="center"/>
              <w:rPr>
                <w:rFonts w:hAnsi="宋体"/>
                <w:color w:val="auto"/>
                <w:sz w:val="24"/>
              </w:rPr>
            </w:pPr>
            <w:r>
              <w:rPr>
                <w:rFonts w:hint="eastAsia" w:hAnsi="宋体"/>
                <w:color w:val="auto"/>
                <w:sz w:val="24"/>
              </w:rPr>
              <w:t>环境风险</w:t>
            </w:r>
          </w:p>
          <w:p>
            <w:pPr>
              <w:adjustRightInd w:val="0"/>
              <w:snapToGrid w:val="0"/>
              <w:jc w:val="center"/>
              <w:rPr>
                <w:rFonts w:hAnsi="宋体"/>
                <w:color w:val="auto"/>
                <w:sz w:val="24"/>
              </w:rPr>
            </w:pPr>
            <w:r>
              <w:rPr>
                <w:rFonts w:hint="eastAsia" w:hAnsi="宋体"/>
                <w:color w:val="auto"/>
                <w:sz w:val="24"/>
              </w:rPr>
              <w:t>防范措施</w:t>
            </w:r>
          </w:p>
        </w:tc>
        <w:tc>
          <w:tcPr>
            <w:tcW w:w="7027" w:type="dxa"/>
            <w:gridSpan w:val="5"/>
            <w:vAlign w:val="center"/>
          </w:tcPr>
          <w:p>
            <w:pPr>
              <w:adjustRightInd w:val="0"/>
              <w:snapToGrid w:val="0"/>
              <w:jc w:val="center"/>
              <w:rPr>
                <w:rFonts w:hAnsi="宋体"/>
                <w:color w:val="auto"/>
                <w:sz w:val="24"/>
              </w:rPr>
            </w:pPr>
            <w:r>
              <w:rPr>
                <w:rFonts w:hint="eastAsia" w:hAnsi="宋体"/>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78" w:type="dxa"/>
            <w:vAlign w:val="center"/>
          </w:tcPr>
          <w:p>
            <w:pPr>
              <w:adjustRightInd w:val="0"/>
              <w:snapToGrid w:val="0"/>
              <w:jc w:val="center"/>
              <w:rPr>
                <w:rFonts w:hAnsi="宋体"/>
                <w:color w:val="auto"/>
                <w:sz w:val="24"/>
              </w:rPr>
            </w:pPr>
            <w:r>
              <w:rPr>
                <w:rFonts w:hint="eastAsia" w:hAnsi="宋体"/>
                <w:color w:val="auto"/>
                <w:sz w:val="24"/>
              </w:rPr>
              <w:t>其他环境</w:t>
            </w:r>
          </w:p>
          <w:p>
            <w:pPr>
              <w:adjustRightInd w:val="0"/>
              <w:snapToGrid w:val="0"/>
              <w:jc w:val="center"/>
              <w:rPr>
                <w:rFonts w:hAnsi="宋体"/>
                <w:color w:val="auto"/>
                <w:sz w:val="24"/>
              </w:rPr>
            </w:pPr>
            <w:r>
              <w:rPr>
                <w:rFonts w:hint="eastAsia" w:hAnsi="宋体"/>
                <w:color w:val="auto"/>
                <w:sz w:val="24"/>
              </w:rPr>
              <w:t>管理要求</w:t>
            </w:r>
          </w:p>
        </w:tc>
        <w:tc>
          <w:tcPr>
            <w:tcW w:w="7027" w:type="dxa"/>
            <w:gridSpan w:val="5"/>
            <w:vAlign w:val="center"/>
          </w:tcPr>
          <w:p>
            <w:pPr>
              <w:numPr>
                <w:ilvl w:val="0"/>
                <w:numId w:val="2"/>
              </w:numPr>
              <w:adjustRightInd w:val="0"/>
              <w:snapToGrid w:val="0"/>
              <w:jc w:val="center"/>
              <w:rPr>
                <w:color w:val="auto"/>
                <w:sz w:val="24"/>
              </w:rPr>
            </w:pPr>
            <w:r>
              <w:rPr>
                <w:rFonts w:hint="eastAsia"/>
                <w:color w:val="auto"/>
                <w:sz w:val="24"/>
              </w:rPr>
              <w:t>项目建设必须严格执行“三同时”制度。并且项目建成投产后要加强环保设施的维护与管理，确保其正常运行，杜绝事故排放。</w:t>
            </w:r>
          </w:p>
          <w:p>
            <w:pPr>
              <w:numPr>
                <w:ilvl w:val="0"/>
                <w:numId w:val="2"/>
              </w:numPr>
              <w:adjustRightInd w:val="0"/>
              <w:snapToGrid w:val="0"/>
              <w:jc w:val="center"/>
              <w:rPr>
                <w:color w:val="auto"/>
                <w:sz w:val="24"/>
              </w:rPr>
            </w:pPr>
            <w:r>
              <w:rPr>
                <w:rFonts w:hint="eastAsia"/>
                <w:color w:val="auto"/>
                <w:sz w:val="24"/>
              </w:rPr>
              <w:t>本项目运行前需明确回注井，严禁将处理后水随意外排。</w:t>
            </w:r>
          </w:p>
          <w:p>
            <w:pPr>
              <w:numPr>
                <w:ilvl w:val="0"/>
                <w:numId w:val="2"/>
              </w:numPr>
              <w:adjustRightInd w:val="0"/>
              <w:snapToGrid w:val="0"/>
              <w:jc w:val="center"/>
              <w:rPr>
                <w:color w:val="auto"/>
                <w:sz w:val="24"/>
              </w:rPr>
            </w:pPr>
            <w:r>
              <w:rPr>
                <w:rFonts w:hint="eastAsia"/>
                <w:color w:val="auto"/>
                <w:sz w:val="24"/>
              </w:rPr>
              <w:t>本项目设备仅适用于处理采出水，严禁处理压裂返排液及其他作业废水。</w:t>
            </w:r>
          </w:p>
          <w:p>
            <w:pPr>
              <w:numPr>
                <w:ilvl w:val="0"/>
                <w:numId w:val="2"/>
              </w:numPr>
              <w:adjustRightInd w:val="0"/>
              <w:snapToGrid w:val="0"/>
              <w:jc w:val="center"/>
              <w:rPr>
                <w:color w:val="auto"/>
                <w:sz w:val="24"/>
              </w:rPr>
            </w:pPr>
            <w:r>
              <w:rPr>
                <w:rFonts w:hint="eastAsia"/>
                <w:color w:val="auto"/>
                <w:sz w:val="24"/>
              </w:rPr>
              <w:t>本项目应严格控制撬装污水处理站的移动时间，尽量不移动，移动拉运期间做好污水处理方案，避免相关污水无法处理，严禁将本项目设备拉运至3个处理站（2511站、3270站、4926-4站）外的站场或其他单位。</w:t>
            </w:r>
          </w:p>
          <w:p>
            <w:pPr>
              <w:numPr>
                <w:ilvl w:val="0"/>
                <w:numId w:val="2"/>
              </w:numPr>
              <w:adjustRightInd w:val="0"/>
              <w:snapToGrid w:val="0"/>
              <w:jc w:val="center"/>
              <w:rPr>
                <w:color w:val="auto"/>
                <w:sz w:val="24"/>
              </w:rPr>
            </w:pPr>
            <w:r>
              <w:rPr>
                <w:rFonts w:hint="eastAsia"/>
                <w:color w:val="auto"/>
                <w:sz w:val="24"/>
              </w:rPr>
              <w:t>本项目仅适用于处理定边采油厂污水，严禁处理其他单位其他废水。</w:t>
            </w:r>
          </w:p>
          <w:p>
            <w:pPr>
              <w:numPr>
                <w:ilvl w:val="0"/>
                <w:numId w:val="2"/>
              </w:numPr>
              <w:adjustRightInd w:val="0"/>
              <w:snapToGrid w:val="0"/>
              <w:jc w:val="center"/>
              <w:rPr>
                <w:color w:val="auto"/>
                <w:sz w:val="24"/>
              </w:rPr>
            </w:pPr>
            <w:r>
              <w:rPr>
                <w:rFonts w:hint="eastAsia"/>
                <w:color w:val="auto"/>
                <w:sz w:val="24"/>
              </w:rPr>
              <w:t>后续进出水若不建设输水管道，拉运污水的道路必须硬化处理。</w:t>
            </w:r>
          </w:p>
          <w:p>
            <w:pPr>
              <w:numPr>
                <w:ilvl w:val="0"/>
                <w:numId w:val="2"/>
              </w:numPr>
              <w:adjustRightInd w:val="0"/>
              <w:snapToGrid w:val="0"/>
              <w:jc w:val="center"/>
              <w:rPr>
                <w:color w:val="auto"/>
                <w:sz w:val="24"/>
              </w:rPr>
            </w:pPr>
            <w:r>
              <w:rPr>
                <w:rFonts w:hint="eastAsia"/>
                <w:color w:val="auto"/>
                <w:sz w:val="24"/>
              </w:rPr>
              <w:t>每次拉运污水应进行台账记录，应记录拉运量、拉运单位、拉运人员、拉运时间等。</w:t>
            </w:r>
          </w:p>
          <w:p>
            <w:pPr>
              <w:numPr>
                <w:ilvl w:val="0"/>
                <w:numId w:val="2"/>
              </w:numPr>
              <w:adjustRightInd w:val="0"/>
              <w:snapToGrid w:val="0"/>
              <w:jc w:val="center"/>
              <w:rPr>
                <w:rFonts w:hAnsi="宋体"/>
                <w:color w:val="auto"/>
                <w:sz w:val="24"/>
              </w:rPr>
            </w:pPr>
            <w:r>
              <w:rPr>
                <w:rFonts w:hint="eastAsia"/>
                <w:color w:val="auto"/>
                <w:sz w:val="24"/>
              </w:rPr>
              <w:t>本项目应进行同层回注，严禁浅层回注或外排。</w:t>
            </w:r>
          </w:p>
        </w:tc>
      </w:tr>
    </w:tbl>
    <w:p>
      <w:pPr>
        <w:pStyle w:val="30"/>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r>
        <w:rPr>
          <w:rFonts w:ascii="Times New Roman" w:hAnsi="黑体" w:eastAsia="黑体"/>
          <w:snapToGrid w:val="0"/>
          <w:color w:val="auto"/>
          <w:sz w:val="30"/>
          <w:szCs w:val="30"/>
        </w:rPr>
        <w:t>六、结论</w:t>
      </w:r>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adjustRightInd w:val="0"/>
              <w:snapToGrid w:val="0"/>
              <w:spacing w:line="360" w:lineRule="auto"/>
              <w:ind w:firstLine="480" w:firstLineChars="200"/>
              <w:rPr>
                <w:color w:val="auto"/>
                <w:sz w:val="24"/>
              </w:rPr>
            </w:pPr>
            <w:bookmarkStart w:id="4" w:name="_Hlk89787525"/>
            <w:bookmarkStart w:id="5" w:name="_Hlk89788011"/>
            <w:r>
              <w:rPr>
                <w:rFonts w:hint="eastAsia"/>
                <w:color w:val="auto"/>
                <w:sz w:val="24"/>
              </w:rPr>
              <w:t>定边采油厂3×300m³/d移动式撬装污水处理站项目符合国家产业政策，符合“三线一单”相关要求，符合榆林市“多规合一”</w:t>
            </w:r>
            <w:r>
              <w:rPr>
                <w:color w:val="auto"/>
                <w:sz w:val="24"/>
              </w:rPr>
              <w:t>相关要求</w:t>
            </w:r>
            <w:r>
              <w:rPr>
                <w:rFonts w:hint="eastAsia"/>
                <w:color w:val="auto"/>
                <w:sz w:val="24"/>
              </w:rPr>
              <w:t>，选址合理。</w:t>
            </w:r>
            <w:bookmarkEnd w:id="4"/>
            <w:r>
              <w:rPr>
                <w:color w:val="auto"/>
                <w:sz w:val="24"/>
              </w:rPr>
              <w:t>在落实</w:t>
            </w:r>
            <w:r>
              <w:rPr>
                <w:rFonts w:hint="eastAsia"/>
                <w:color w:val="auto"/>
                <w:sz w:val="24"/>
              </w:rPr>
              <w:t>相关</w:t>
            </w:r>
            <w:r>
              <w:rPr>
                <w:color w:val="auto"/>
                <w:sz w:val="24"/>
              </w:rPr>
              <w:t>环境保护措施后，项目</w:t>
            </w:r>
            <w:r>
              <w:rPr>
                <w:rFonts w:hint="eastAsia"/>
                <w:color w:val="auto"/>
                <w:sz w:val="24"/>
              </w:rPr>
              <w:t>产生的</w:t>
            </w:r>
            <w:r>
              <w:rPr>
                <w:color w:val="auto"/>
                <w:sz w:val="24"/>
              </w:rPr>
              <w:t>各类污</w:t>
            </w:r>
            <w:r>
              <w:rPr>
                <w:rFonts w:hint="eastAsia"/>
                <w:color w:val="auto"/>
                <w:sz w:val="24"/>
              </w:rPr>
              <w:t>染物均能达标排放，对环境影响较小。从环境保护角度分析，建设项目环境影响可行。</w:t>
            </w:r>
          </w:p>
          <w:p>
            <w:pPr>
              <w:adjustRightInd w:val="0"/>
              <w:snapToGrid w:val="0"/>
              <w:spacing w:line="360" w:lineRule="auto"/>
              <w:ind w:firstLine="480" w:firstLineChars="200"/>
              <w:rPr>
                <w:color w:val="auto"/>
                <w:sz w:val="24"/>
              </w:rPr>
            </w:pPr>
          </w:p>
          <w:bookmarkEnd w:id="5"/>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pStyle w:val="87"/>
              <w:rPr>
                <w:color w:val="auto"/>
              </w:rPr>
            </w:pPr>
          </w:p>
        </w:tc>
      </w:tr>
    </w:tbl>
    <w:p>
      <w:pPr>
        <w:rPr>
          <w:color w:val="auto"/>
        </w:rPr>
        <w:sectPr>
          <w:pgSz w:w="11906" w:h="16838"/>
          <w:pgMar w:top="1701" w:right="1531" w:bottom="1701" w:left="1531" w:header="851" w:footer="851" w:gutter="0"/>
          <w:cols w:space="720" w:num="1"/>
          <w:docGrid w:linePitch="312" w:charSpace="0"/>
        </w:sectPr>
      </w:pPr>
    </w:p>
    <w:p>
      <w:pPr>
        <w:pStyle w:val="30"/>
        <w:adjustRightInd w:val="0"/>
        <w:snapToGrid w:val="0"/>
        <w:spacing w:before="0" w:beforeAutospacing="0" w:after="0" w:afterAutospacing="0" w:line="648" w:lineRule="auto"/>
        <w:outlineLvl w:val="0"/>
        <w:rPr>
          <w:rFonts w:ascii="Times New Roman" w:hAnsi="Times New Roman" w:eastAsia="黑体"/>
          <w:snapToGrid w:val="0"/>
          <w:color w:val="auto"/>
          <w:sz w:val="32"/>
          <w:szCs w:val="32"/>
        </w:rPr>
      </w:pPr>
      <w:r>
        <w:rPr>
          <w:rFonts w:ascii="Times New Roman" w:hAnsi="黑体" w:eastAsia="黑体"/>
          <w:snapToGrid w:val="0"/>
          <w:color w:val="auto"/>
          <w:sz w:val="32"/>
          <w:szCs w:val="32"/>
        </w:rPr>
        <w:t>附表</w:t>
      </w:r>
    </w:p>
    <w:p>
      <w:pPr>
        <w:pStyle w:val="30"/>
        <w:adjustRightInd w:val="0"/>
        <w:snapToGrid w:val="0"/>
        <w:spacing w:before="0" w:beforeAutospacing="0" w:after="0" w:afterAutospacing="0" w:line="552" w:lineRule="auto"/>
        <w:jc w:val="center"/>
        <w:outlineLvl w:val="0"/>
        <w:rPr>
          <w:rFonts w:ascii="Times New Roman" w:hAnsi="Times New Roman" w:eastAsia="方正小标宋_GBK"/>
          <w:snapToGrid w:val="0"/>
          <w:color w:val="auto"/>
          <w:sz w:val="38"/>
          <w:szCs w:val="38"/>
        </w:rPr>
      </w:pPr>
      <w:r>
        <w:rPr>
          <w:rFonts w:ascii="Times New Roman" w:hAnsi="Times New Roman" w:eastAsia="方正小标宋_GBK"/>
          <w:snapToGrid w:val="0"/>
          <w:color w:val="auto"/>
          <w:sz w:val="38"/>
          <w:szCs w:val="38"/>
        </w:rPr>
        <w:t>建设项目污染物排放量汇总表</w:t>
      </w:r>
    </w:p>
    <w:tbl>
      <w:tblPr>
        <w:tblStyle w:val="3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652"/>
        <w:gridCol w:w="11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54"/>
              <w:spacing w:beforeLines="0" w:afterLines="0" w:line="240" w:lineRule="auto"/>
              <w:jc w:val="right"/>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项目</w:t>
            </w:r>
          </w:p>
          <w:p>
            <w:pPr>
              <w:pStyle w:val="54"/>
              <w:spacing w:beforeLines="0" w:afterLines="0" w:line="240" w:lineRule="auto"/>
              <w:jc w:val="left"/>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分类</w:t>
            </w:r>
          </w:p>
        </w:tc>
        <w:tc>
          <w:tcPr>
            <w:tcW w:w="1417" w:type="dxa"/>
            <w:tcMar>
              <w:left w:w="28" w:type="dxa"/>
              <w:right w:w="28" w:type="dxa"/>
            </w:tcMar>
            <w:vAlign w:val="center"/>
          </w:tcPr>
          <w:p>
            <w:pPr>
              <w:pStyle w:val="54"/>
              <w:spacing w:beforeLines="0" w:afterLines="0" w:line="240" w:lineRule="auto"/>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污染物名称</w:t>
            </w:r>
          </w:p>
        </w:tc>
        <w:tc>
          <w:tcPr>
            <w:tcW w:w="1701" w:type="dxa"/>
            <w:tcMar>
              <w:left w:w="28" w:type="dxa"/>
              <w:right w:w="28" w:type="dxa"/>
            </w:tcMar>
            <w:vAlign w:val="center"/>
          </w:tcPr>
          <w:p>
            <w:pPr>
              <w:pStyle w:val="54"/>
              <w:spacing w:beforeLines="0" w:afterLines="0" w:line="240" w:lineRule="auto"/>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现有工程</w:t>
            </w:r>
          </w:p>
          <w:p>
            <w:pPr>
              <w:pStyle w:val="54"/>
              <w:spacing w:beforeLines="0" w:afterLines="0" w:line="240" w:lineRule="auto"/>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ascii="Times New Roman" w:hAnsi="黑体" w:eastAsia="黑体"/>
                <w:color w:val="auto"/>
                <w:kern w:val="2"/>
                <w:szCs w:val="21"/>
              </w:rPr>
              <w:t>①</w:t>
            </w:r>
            <w:r>
              <w:rPr>
                <w:rFonts w:ascii="Times New Roman" w:eastAsia="黑体"/>
                <w:snapToGrid w:val="0"/>
                <w:color w:val="auto"/>
                <w:spacing w:val="-6"/>
                <w:kern w:val="21"/>
                <w:szCs w:val="21"/>
              </w:rPr>
              <w:fldChar w:fldCharType="end"/>
            </w:r>
          </w:p>
        </w:tc>
        <w:tc>
          <w:tcPr>
            <w:tcW w:w="1276" w:type="dxa"/>
            <w:tcMar>
              <w:left w:w="28" w:type="dxa"/>
              <w:right w:w="28" w:type="dxa"/>
            </w:tcMar>
            <w:vAlign w:val="center"/>
          </w:tcPr>
          <w:p>
            <w:pPr>
              <w:pStyle w:val="54"/>
              <w:spacing w:beforeLines="0" w:afterLines="0" w:line="240" w:lineRule="auto"/>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现有工程</w:t>
            </w:r>
          </w:p>
          <w:p>
            <w:pPr>
              <w:pStyle w:val="54"/>
              <w:spacing w:beforeLines="0" w:afterLines="0" w:line="240" w:lineRule="auto"/>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许可排放量</w:t>
            </w:r>
          </w:p>
          <w:p>
            <w:pPr>
              <w:pStyle w:val="54"/>
              <w:spacing w:beforeLines="0" w:afterLines="0"/>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rFonts w:ascii="Times New Roman" w:hAnsi="黑体" w:eastAsia="黑体"/>
                <w:snapToGrid w:val="0"/>
                <w:color w:val="auto"/>
                <w:spacing w:val="-6"/>
                <w:kern w:val="21"/>
                <w:szCs w:val="21"/>
              </w:rPr>
              <w:t>②</w:t>
            </w:r>
            <w:r>
              <w:rPr>
                <w:rFonts w:ascii="Times New Roman" w:eastAsia="黑体"/>
                <w:snapToGrid w:val="0"/>
                <w:color w:val="auto"/>
                <w:spacing w:val="-6"/>
                <w:kern w:val="21"/>
                <w:szCs w:val="21"/>
              </w:rPr>
              <w:fldChar w:fldCharType="end"/>
            </w:r>
          </w:p>
        </w:tc>
        <w:tc>
          <w:tcPr>
            <w:tcW w:w="1701" w:type="dxa"/>
            <w:tcMar>
              <w:left w:w="28" w:type="dxa"/>
              <w:right w:w="28" w:type="dxa"/>
            </w:tcMar>
            <w:vAlign w:val="center"/>
          </w:tcPr>
          <w:p>
            <w:pPr>
              <w:pStyle w:val="54"/>
              <w:spacing w:beforeLines="0" w:afterLines="0" w:line="240" w:lineRule="auto"/>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在建工程</w:t>
            </w:r>
          </w:p>
          <w:p>
            <w:pPr>
              <w:pStyle w:val="54"/>
              <w:spacing w:beforeLines="0" w:afterLines="0" w:line="240" w:lineRule="auto"/>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ascii="Times New Roman" w:hAnsi="黑体" w:eastAsia="黑体"/>
                <w:color w:val="auto"/>
                <w:kern w:val="2"/>
                <w:szCs w:val="21"/>
              </w:rPr>
              <w:t>③</w:t>
            </w:r>
            <w:r>
              <w:rPr>
                <w:rFonts w:ascii="Times New Roman" w:eastAsia="黑体"/>
                <w:snapToGrid w:val="0"/>
                <w:color w:val="auto"/>
                <w:spacing w:val="-6"/>
                <w:kern w:val="21"/>
                <w:szCs w:val="21"/>
              </w:rPr>
              <w:fldChar w:fldCharType="end"/>
            </w:r>
          </w:p>
        </w:tc>
        <w:tc>
          <w:tcPr>
            <w:tcW w:w="1559" w:type="dxa"/>
            <w:tcMar>
              <w:left w:w="28" w:type="dxa"/>
              <w:right w:w="28" w:type="dxa"/>
            </w:tcMar>
            <w:vAlign w:val="center"/>
          </w:tcPr>
          <w:p>
            <w:pPr>
              <w:pStyle w:val="54"/>
              <w:spacing w:beforeLines="0" w:afterLines="0" w:line="240" w:lineRule="auto"/>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本项目</w:t>
            </w:r>
          </w:p>
          <w:p>
            <w:pPr>
              <w:pStyle w:val="54"/>
              <w:spacing w:beforeLines="0" w:afterLines="0" w:line="240" w:lineRule="auto"/>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ascii="Times New Roman" w:hAnsi="黑体" w:eastAsia="黑体"/>
                <w:color w:val="auto"/>
                <w:kern w:val="2"/>
                <w:szCs w:val="21"/>
              </w:rPr>
              <w:t>④</w:t>
            </w:r>
            <w:r>
              <w:rPr>
                <w:rFonts w:ascii="Times New Roman" w:eastAsia="黑体"/>
                <w:snapToGrid w:val="0"/>
                <w:color w:val="auto"/>
                <w:spacing w:val="-6"/>
                <w:kern w:val="21"/>
                <w:szCs w:val="21"/>
              </w:rPr>
              <w:fldChar w:fldCharType="end"/>
            </w:r>
          </w:p>
        </w:tc>
        <w:tc>
          <w:tcPr>
            <w:tcW w:w="1761" w:type="dxa"/>
            <w:tcMar>
              <w:left w:w="28" w:type="dxa"/>
              <w:right w:w="28" w:type="dxa"/>
            </w:tcMar>
            <w:vAlign w:val="center"/>
          </w:tcPr>
          <w:p>
            <w:pPr>
              <w:pStyle w:val="54"/>
              <w:spacing w:beforeLines="0" w:afterLines="0" w:line="240" w:lineRule="auto"/>
              <w:rPr>
                <w:rFonts w:ascii="Times New Roman" w:eastAsia="黑体"/>
                <w:snapToGrid w:val="0"/>
                <w:color w:val="auto"/>
                <w:spacing w:val="-16"/>
                <w:kern w:val="21"/>
                <w:szCs w:val="21"/>
              </w:rPr>
            </w:pPr>
            <w:r>
              <w:rPr>
                <w:rFonts w:ascii="Times New Roman" w:hAnsi="黑体" w:eastAsia="黑体"/>
                <w:snapToGrid w:val="0"/>
                <w:color w:val="auto"/>
                <w:spacing w:val="-16"/>
                <w:kern w:val="21"/>
                <w:szCs w:val="21"/>
              </w:rPr>
              <w:t>以新带老削减量</w:t>
            </w:r>
          </w:p>
          <w:p>
            <w:pPr>
              <w:pStyle w:val="54"/>
              <w:spacing w:beforeLines="0" w:afterLines="0" w:line="240" w:lineRule="auto"/>
              <w:rPr>
                <w:rFonts w:ascii="Times New Roman" w:eastAsia="黑体"/>
                <w:snapToGrid w:val="0"/>
                <w:color w:val="auto"/>
                <w:spacing w:val="-16"/>
                <w:kern w:val="21"/>
                <w:szCs w:val="21"/>
              </w:rPr>
            </w:pPr>
            <w:r>
              <w:rPr>
                <w:rFonts w:ascii="Times New Roman" w:hAnsi="黑体"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ascii="Times New Roman" w:hAnsi="黑体" w:eastAsia="黑体"/>
                <w:color w:val="auto"/>
                <w:kern w:val="2"/>
                <w:szCs w:val="21"/>
              </w:rPr>
              <w:t>⑤</w:t>
            </w:r>
            <w:r>
              <w:rPr>
                <w:rFonts w:ascii="Times New Roman" w:eastAsia="黑体"/>
                <w:snapToGrid w:val="0"/>
                <w:color w:val="auto"/>
                <w:spacing w:val="-16"/>
                <w:kern w:val="21"/>
                <w:szCs w:val="21"/>
              </w:rPr>
              <w:fldChar w:fldCharType="end"/>
            </w:r>
          </w:p>
        </w:tc>
        <w:tc>
          <w:tcPr>
            <w:tcW w:w="1652" w:type="dxa"/>
            <w:tcMar>
              <w:left w:w="28" w:type="dxa"/>
              <w:right w:w="28" w:type="dxa"/>
            </w:tcMar>
            <w:vAlign w:val="center"/>
          </w:tcPr>
          <w:p>
            <w:pPr>
              <w:pStyle w:val="54"/>
              <w:spacing w:beforeLines="0" w:afterLines="0" w:line="240" w:lineRule="auto"/>
              <w:rPr>
                <w:rFonts w:ascii="Times New Roman" w:eastAsia="黑体"/>
                <w:snapToGrid w:val="0"/>
                <w:color w:val="auto"/>
                <w:spacing w:val="-16"/>
                <w:kern w:val="21"/>
                <w:szCs w:val="21"/>
              </w:rPr>
            </w:pPr>
            <w:r>
              <w:rPr>
                <w:rFonts w:ascii="Times New Roman" w:hAnsi="黑体" w:eastAsia="黑体"/>
                <w:snapToGrid w:val="0"/>
                <w:color w:val="auto"/>
                <w:spacing w:val="-16"/>
                <w:kern w:val="21"/>
                <w:szCs w:val="21"/>
              </w:rPr>
              <w:t>本项目建成后</w:t>
            </w:r>
          </w:p>
          <w:p>
            <w:pPr>
              <w:pStyle w:val="54"/>
              <w:spacing w:beforeLines="0" w:afterLines="0" w:line="240" w:lineRule="auto"/>
              <w:rPr>
                <w:rFonts w:ascii="Times New Roman" w:eastAsia="黑体"/>
                <w:snapToGrid w:val="0"/>
                <w:color w:val="auto"/>
                <w:spacing w:val="-16"/>
                <w:kern w:val="21"/>
                <w:szCs w:val="21"/>
              </w:rPr>
            </w:pPr>
            <w:r>
              <w:rPr>
                <w:rFonts w:ascii="Times New Roman" w:hAnsi="黑体" w:eastAsia="黑体"/>
                <w:snapToGrid w:val="0"/>
                <w:color w:val="auto"/>
                <w:spacing w:val="-16"/>
                <w:kern w:val="21"/>
                <w:szCs w:val="21"/>
              </w:rPr>
              <w:t>全厂排放量（固体废物产生量）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ascii="Times New Roman" w:hAnsi="黑体" w:eastAsia="黑体"/>
                <w:color w:val="auto"/>
                <w:kern w:val="2"/>
                <w:szCs w:val="21"/>
              </w:rPr>
              <w:t>⑥</w:t>
            </w:r>
            <w:r>
              <w:rPr>
                <w:rFonts w:ascii="Times New Roman" w:eastAsia="黑体"/>
                <w:snapToGrid w:val="0"/>
                <w:color w:val="auto"/>
                <w:spacing w:val="-16"/>
                <w:kern w:val="21"/>
                <w:szCs w:val="21"/>
              </w:rPr>
              <w:fldChar w:fldCharType="end"/>
            </w:r>
          </w:p>
        </w:tc>
        <w:tc>
          <w:tcPr>
            <w:tcW w:w="1133" w:type="dxa"/>
            <w:tcMar>
              <w:left w:w="28" w:type="dxa"/>
              <w:right w:w="28" w:type="dxa"/>
            </w:tcMar>
            <w:vAlign w:val="center"/>
          </w:tcPr>
          <w:p>
            <w:pPr>
              <w:pStyle w:val="54"/>
              <w:spacing w:beforeLines="0" w:afterLines="0" w:line="240" w:lineRule="auto"/>
              <w:rPr>
                <w:rFonts w:ascii="Times New Roman" w:eastAsia="黑体"/>
                <w:snapToGrid w:val="0"/>
                <w:color w:val="auto"/>
                <w:spacing w:val="-6"/>
                <w:kern w:val="21"/>
                <w:szCs w:val="21"/>
              </w:rPr>
            </w:pPr>
            <w:r>
              <w:rPr>
                <w:rFonts w:ascii="Times New Roman" w:hAnsi="黑体" w:eastAsia="黑体"/>
                <w:snapToGrid w:val="0"/>
                <w:color w:val="auto"/>
                <w:spacing w:val="-6"/>
                <w:kern w:val="21"/>
                <w:szCs w:val="21"/>
              </w:rPr>
              <w:t>变化量</w:t>
            </w:r>
          </w:p>
          <w:p>
            <w:pPr>
              <w:pStyle w:val="54"/>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ascii="Times New Roman" w:hAnsi="黑体" w:eastAsia="黑体"/>
                <w:color w:val="auto"/>
                <w:kern w:val="2"/>
                <w:szCs w:val="21"/>
              </w:rPr>
              <w:t>⑦</w:t>
            </w:r>
            <w:r>
              <w:rPr>
                <w:rFonts w:ascii="Times New Roman"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54"/>
              <w:spacing w:beforeLines="0" w:afterLines="0" w:line="240" w:lineRule="auto"/>
              <w:rPr>
                <w:rFonts w:ascii="Times New Roman"/>
                <w:snapToGrid w:val="0"/>
                <w:color w:val="auto"/>
                <w:kern w:val="21"/>
                <w:szCs w:val="21"/>
              </w:rPr>
            </w:pPr>
            <w:r>
              <w:rPr>
                <w:rFonts w:ascii="Times New Roman" w:hAnsi="宋体"/>
                <w:snapToGrid w:val="0"/>
                <w:color w:val="auto"/>
                <w:kern w:val="21"/>
                <w:szCs w:val="21"/>
              </w:rPr>
              <w:t>废气</w:t>
            </w:r>
          </w:p>
        </w:tc>
        <w:tc>
          <w:tcPr>
            <w:tcW w:w="1417" w:type="dxa"/>
            <w:vAlign w:val="center"/>
          </w:tcPr>
          <w:p>
            <w:pPr>
              <w:pStyle w:val="5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二氧化硫</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0.07t</w:t>
            </w:r>
            <w:r>
              <w:rPr>
                <w:rFonts w:ascii="Times New Roman" w:hAnsi="Times New Roman" w:cs="Times New Roman"/>
                <w:color w:val="auto"/>
                <w:szCs w:val="21"/>
              </w:rPr>
              <w:t>/a</w:t>
            </w:r>
          </w:p>
        </w:tc>
        <w:tc>
          <w:tcPr>
            <w:tcW w:w="1276"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559"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76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652"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0.07t</w:t>
            </w:r>
            <w:r>
              <w:rPr>
                <w:rFonts w:ascii="Times New Roman" w:hAnsi="Times New Roman" w:cs="Times New Roman"/>
                <w:color w:val="auto"/>
                <w:szCs w:val="21"/>
              </w:rPr>
              <w:t>/a</w:t>
            </w:r>
          </w:p>
        </w:tc>
        <w:tc>
          <w:tcPr>
            <w:tcW w:w="1133"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4"/>
              <w:spacing w:beforeLines="0" w:afterLines="0" w:line="240" w:lineRule="auto"/>
              <w:rPr>
                <w:rFonts w:ascii="Times New Roman" w:hAnsi="宋体"/>
                <w:snapToGrid w:val="0"/>
                <w:color w:val="auto"/>
                <w:kern w:val="21"/>
                <w:szCs w:val="21"/>
              </w:rPr>
            </w:pPr>
          </w:p>
        </w:tc>
        <w:tc>
          <w:tcPr>
            <w:tcW w:w="1417" w:type="dxa"/>
            <w:vAlign w:val="center"/>
          </w:tcPr>
          <w:p>
            <w:pPr>
              <w:pStyle w:val="5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氮氧化物</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0.16t</w:t>
            </w:r>
            <w:r>
              <w:rPr>
                <w:rFonts w:ascii="Times New Roman" w:hAnsi="Times New Roman" w:cs="Times New Roman"/>
                <w:color w:val="auto"/>
                <w:szCs w:val="21"/>
              </w:rPr>
              <w:t>/a</w:t>
            </w:r>
          </w:p>
        </w:tc>
        <w:tc>
          <w:tcPr>
            <w:tcW w:w="1276"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559"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76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652"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0.16t</w:t>
            </w:r>
            <w:r>
              <w:rPr>
                <w:rFonts w:ascii="Times New Roman" w:hAnsi="Times New Roman" w:cs="Times New Roman"/>
                <w:color w:val="auto"/>
                <w:szCs w:val="21"/>
              </w:rPr>
              <w:t>/a</w:t>
            </w:r>
          </w:p>
        </w:tc>
        <w:tc>
          <w:tcPr>
            <w:tcW w:w="1133"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88" w:type="dxa"/>
            <w:vMerge w:val="continue"/>
            <w:vAlign w:val="center"/>
          </w:tcPr>
          <w:p>
            <w:pPr>
              <w:pStyle w:val="54"/>
              <w:spacing w:beforeLines="0" w:afterLines="0" w:line="240" w:lineRule="auto"/>
              <w:rPr>
                <w:rFonts w:ascii="Times New Roman" w:hAnsi="宋体"/>
                <w:snapToGrid w:val="0"/>
                <w:color w:val="auto"/>
                <w:kern w:val="21"/>
                <w:szCs w:val="21"/>
              </w:rPr>
            </w:pPr>
          </w:p>
        </w:tc>
        <w:tc>
          <w:tcPr>
            <w:tcW w:w="1417" w:type="dxa"/>
            <w:vAlign w:val="center"/>
          </w:tcPr>
          <w:p>
            <w:pPr>
              <w:pStyle w:val="5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粉尘</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0.03t</w:t>
            </w:r>
            <w:r>
              <w:rPr>
                <w:rFonts w:ascii="Times New Roman" w:hAnsi="Times New Roman" w:cs="Times New Roman"/>
                <w:color w:val="auto"/>
                <w:szCs w:val="21"/>
              </w:rPr>
              <w:t>/a</w:t>
            </w:r>
          </w:p>
        </w:tc>
        <w:tc>
          <w:tcPr>
            <w:tcW w:w="1276"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559"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76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652"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0.03t</w:t>
            </w:r>
            <w:r>
              <w:rPr>
                <w:rFonts w:ascii="Times New Roman" w:hAnsi="Times New Roman" w:cs="Times New Roman"/>
                <w:color w:val="auto"/>
                <w:szCs w:val="21"/>
              </w:rPr>
              <w:t>/a</w:t>
            </w:r>
          </w:p>
        </w:tc>
        <w:tc>
          <w:tcPr>
            <w:tcW w:w="1133"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4"/>
              <w:spacing w:beforeLines="0" w:afterLines="0" w:line="240" w:lineRule="auto"/>
              <w:rPr>
                <w:rFonts w:ascii="Times New Roman"/>
                <w:snapToGrid w:val="0"/>
                <w:color w:val="auto"/>
                <w:kern w:val="21"/>
                <w:szCs w:val="21"/>
              </w:rPr>
            </w:pPr>
          </w:p>
        </w:tc>
        <w:tc>
          <w:tcPr>
            <w:tcW w:w="1417" w:type="dxa"/>
            <w:vAlign w:val="center"/>
          </w:tcPr>
          <w:p>
            <w:pPr>
              <w:pStyle w:val="5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非甲烷总烃</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0.65t</w:t>
            </w:r>
            <w:r>
              <w:rPr>
                <w:rFonts w:ascii="Times New Roman" w:hAnsi="Times New Roman" w:cs="Times New Roman"/>
                <w:color w:val="auto"/>
                <w:szCs w:val="21"/>
              </w:rPr>
              <w:t>/a</w:t>
            </w:r>
          </w:p>
        </w:tc>
        <w:tc>
          <w:tcPr>
            <w:tcW w:w="1276"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559"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0.19t/a</w:t>
            </w:r>
          </w:p>
        </w:tc>
        <w:tc>
          <w:tcPr>
            <w:tcW w:w="176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652"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0.84t</w:t>
            </w:r>
            <w:r>
              <w:rPr>
                <w:rFonts w:ascii="Times New Roman" w:hAnsi="Times New Roman" w:cs="Times New Roman"/>
                <w:color w:val="auto"/>
                <w:szCs w:val="21"/>
              </w:rPr>
              <w:t>/a</w:t>
            </w:r>
          </w:p>
        </w:tc>
        <w:tc>
          <w:tcPr>
            <w:tcW w:w="1133"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+0.19t/a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54"/>
              <w:spacing w:beforeLines="0" w:afterLines="0" w:line="240" w:lineRule="auto"/>
              <w:rPr>
                <w:rFonts w:ascii="Times New Roman"/>
                <w:snapToGrid w:val="0"/>
                <w:color w:val="auto"/>
                <w:kern w:val="21"/>
                <w:szCs w:val="21"/>
              </w:rPr>
            </w:pPr>
            <w:r>
              <w:rPr>
                <w:rFonts w:ascii="Times New Roman" w:hAnsi="宋体"/>
                <w:snapToGrid w:val="0"/>
                <w:color w:val="auto"/>
                <w:kern w:val="21"/>
                <w:szCs w:val="21"/>
              </w:rPr>
              <w:t>废水</w:t>
            </w:r>
          </w:p>
        </w:tc>
        <w:tc>
          <w:tcPr>
            <w:tcW w:w="1417" w:type="dxa"/>
            <w:vAlign w:val="center"/>
          </w:tcPr>
          <w:p>
            <w:pPr>
              <w:pStyle w:val="5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COD</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276"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559"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76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652"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133"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4"/>
              <w:spacing w:beforeLines="0" w:afterLines="0" w:line="240" w:lineRule="auto"/>
              <w:rPr>
                <w:rFonts w:ascii="Times New Roman"/>
                <w:snapToGrid w:val="0"/>
                <w:color w:val="auto"/>
                <w:kern w:val="21"/>
                <w:szCs w:val="21"/>
              </w:rPr>
            </w:pPr>
          </w:p>
        </w:tc>
        <w:tc>
          <w:tcPr>
            <w:tcW w:w="1417" w:type="dxa"/>
            <w:vAlign w:val="center"/>
          </w:tcPr>
          <w:p>
            <w:pPr>
              <w:pStyle w:val="54"/>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NH</w:t>
            </w:r>
            <w:r>
              <w:rPr>
                <w:rFonts w:hint="eastAsia" w:ascii="Times New Roman"/>
                <w:snapToGrid w:val="0"/>
                <w:color w:val="auto"/>
                <w:kern w:val="21"/>
                <w:szCs w:val="21"/>
                <w:vertAlign w:val="subscript"/>
              </w:rPr>
              <w:t>3</w:t>
            </w:r>
            <w:r>
              <w:rPr>
                <w:rFonts w:hint="eastAsia" w:ascii="Times New Roman"/>
                <w:snapToGrid w:val="0"/>
                <w:color w:val="auto"/>
                <w:kern w:val="21"/>
                <w:szCs w:val="21"/>
              </w:rPr>
              <w:t>-N</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276"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559"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76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652"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133"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54"/>
              <w:spacing w:beforeLines="0" w:afterLines="0" w:line="240" w:lineRule="auto"/>
              <w:rPr>
                <w:rFonts w:ascii="Times New Roman"/>
                <w:snapToGrid w:val="0"/>
                <w:color w:val="auto"/>
                <w:kern w:val="21"/>
                <w:szCs w:val="21"/>
              </w:rPr>
            </w:pPr>
            <w:r>
              <w:rPr>
                <w:rFonts w:ascii="Times New Roman" w:hAnsi="宋体"/>
                <w:snapToGrid w:val="0"/>
                <w:color w:val="auto"/>
                <w:kern w:val="21"/>
                <w:szCs w:val="21"/>
              </w:rPr>
              <w:t>危险废物</w:t>
            </w:r>
          </w:p>
        </w:tc>
        <w:tc>
          <w:tcPr>
            <w:tcW w:w="1417" w:type="dxa"/>
            <w:vAlign w:val="center"/>
          </w:tcPr>
          <w:p>
            <w:pPr>
              <w:adjustRightInd w:val="0"/>
              <w:snapToGrid w:val="0"/>
              <w:jc w:val="center"/>
              <w:rPr>
                <w:snapToGrid w:val="0"/>
                <w:color w:val="auto"/>
                <w:kern w:val="21"/>
                <w:szCs w:val="21"/>
              </w:rPr>
            </w:pPr>
            <w:r>
              <w:rPr>
                <w:rFonts w:hint="eastAsia"/>
                <w:snapToGrid w:val="0"/>
                <w:color w:val="auto"/>
                <w:kern w:val="21"/>
                <w:szCs w:val="21"/>
              </w:rPr>
              <w:t>含油污泥</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276"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559"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60t/a</w:t>
            </w:r>
          </w:p>
        </w:tc>
        <w:tc>
          <w:tcPr>
            <w:tcW w:w="176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652"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60t/a</w:t>
            </w:r>
          </w:p>
        </w:tc>
        <w:tc>
          <w:tcPr>
            <w:tcW w:w="1133"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+60t/a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4"/>
              <w:spacing w:beforeLines="0" w:afterLines="0" w:line="240" w:lineRule="auto"/>
              <w:rPr>
                <w:rFonts w:ascii="Times New Roman" w:hAnsi="宋体"/>
                <w:snapToGrid w:val="0"/>
                <w:color w:val="auto"/>
                <w:kern w:val="21"/>
                <w:szCs w:val="21"/>
              </w:rPr>
            </w:pPr>
          </w:p>
        </w:tc>
        <w:tc>
          <w:tcPr>
            <w:tcW w:w="1417" w:type="dxa"/>
            <w:vAlign w:val="center"/>
          </w:tcPr>
          <w:p>
            <w:pPr>
              <w:adjustRightInd w:val="0"/>
              <w:snapToGrid w:val="0"/>
              <w:jc w:val="center"/>
              <w:rPr>
                <w:snapToGrid w:val="0"/>
                <w:color w:val="auto"/>
                <w:kern w:val="21"/>
                <w:szCs w:val="21"/>
              </w:rPr>
            </w:pPr>
            <w:r>
              <w:rPr>
                <w:rFonts w:hint="eastAsia"/>
                <w:snapToGrid w:val="0"/>
                <w:color w:val="auto"/>
                <w:kern w:val="21"/>
                <w:szCs w:val="21"/>
              </w:rPr>
              <w:t>废滤料</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276"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70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559"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1.2t/a</w:t>
            </w:r>
          </w:p>
        </w:tc>
        <w:tc>
          <w:tcPr>
            <w:tcW w:w="1761"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w:t>
            </w:r>
          </w:p>
        </w:tc>
        <w:tc>
          <w:tcPr>
            <w:tcW w:w="1652"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1.2t/a</w:t>
            </w:r>
          </w:p>
        </w:tc>
        <w:tc>
          <w:tcPr>
            <w:tcW w:w="1133" w:type="dxa"/>
            <w:vAlign w:val="center"/>
          </w:tcPr>
          <w:p>
            <w:pPr>
              <w:pStyle w:val="54"/>
              <w:spacing w:beforeLines="0" w:afterLines="0" w:line="240" w:lineRule="auto"/>
              <w:rPr>
                <w:rFonts w:ascii="Times New Roman" w:hAnsi="Times New Roman" w:cs="Times New Roman"/>
                <w:color w:val="auto"/>
                <w:szCs w:val="21"/>
              </w:rPr>
            </w:pPr>
            <w:r>
              <w:rPr>
                <w:rFonts w:hint="eastAsia" w:ascii="Times New Roman" w:hAnsi="Times New Roman" w:cs="Times New Roman"/>
                <w:color w:val="auto"/>
                <w:szCs w:val="21"/>
              </w:rPr>
              <w:t>+1.2t/a</w:t>
            </w:r>
          </w:p>
        </w:tc>
      </w:tr>
    </w:tbl>
    <w:p>
      <w:pPr>
        <w:pStyle w:val="54"/>
        <w:spacing w:beforeLines="80" w:after="24"/>
        <w:jc w:val="left"/>
        <w:rPr>
          <w:color w:val="auto"/>
        </w:rPr>
        <w:sectPr>
          <w:footerReference r:id="rId7" w:type="default"/>
          <w:pgSz w:w="16838" w:h="11906" w:orient="landscape"/>
          <w:pgMar w:top="1701" w:right="1531" w:bottom="1701" w:left="1531" w:header="851" w:footer="851" w:gutter="0"/>
          <w:cols w:space="720" w:num="1"/>
          <w:docGrid w:linePitch="312" w:charSpace="0"/>
        </w:sectPr>
      </w:pPr>
      <w:r>
        <w:rPr>
          <w:rFonts w:ascii="Times New Roman" w:hAnsi="宋体"/>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hAnsi="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hAnsi="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hAnsi="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hAnsi="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hAnsi="宋体"/>
          <w:color w:val="auto"/>
          <w:szCs w:val="21"/>
        </w:rPr>
        <w:t>⑤</w:t>
      </w:r>
      <w:r>
        <w:rPr>
          <w:rFonts w:ascii="Times New Roman"/>
          <w:snapToGrid w:val="0"/>
          <w:color w:val="auto"/>
          <w:spacing w:val="-16"/>
          <w:kern w:val="21"/>
          <w:szCs w:val="21"/>
        </w:rPr>
        <w:fldChar w:fldCharType="end"/>
      </w:r>
      <w:r>
        <w:rPr>
          <w:rFonts w:ascii="Times New Roman" w:hAnsi="宋体"/>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hAnsi="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hAnsi="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hAnsi="宋体"/>
          <w:color w:val="auto"/>
          <w:szCs w:val="21"/>
        </w:rPr>
        <w:t>①</w:t>
      </w:r>
      <w:r>
        <w:rPr>
          <w:rFonts w:ascii="Times New Roman"/>
          <w:snapToGrid w:val="0"/>
          <w:color w:val="auto"/>
          <w:spacing w:val="-6"/>
          <w:kern w:val="21"/>
          <w:szCs w:val="21"/>
        </w:rPr>
        <w:fldChar w:fldCharType="end"/>
      </w:r>
    </w:p>
    <w:p>
      <w:pPr>
        <w:pStyle w:val="87"/>
        <w:rPr>
          <w:color w:val="auto"/>
        </w:rPr>
      </w:pPr>
    </w:p>
    <w:sectPr>
      <w:footerReference r:id="rId8"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Noto Sans CJK JP Regular">
    <w:altName w:val="Calibri"/>
    <w:panose1 w:val="00000000000000000000"/>
    <w:charset w:val="00"/>
    <w:family w:val="swiss"/>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方正小标宋_GBK">
    <w:altName w:val="微软雅黑"/>
    <w:panose1 w:val="02000000000000000000"/>
    <w:charset w:val="86"/>
    <w:family w:val="script"/>
    <w:pitch w:val="default"/>
    <w:sig w:usb0="00000000" w:usb1="00000000" w:usb2="00082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方正仿宋简体">
    <w:altName w:val="微软雅黑"/>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8"/>
      </w:rPr>
    </w:pPr>
    <w:r>
      <w:fldChar w:fldCharType="begin"/>
    </w:r>
    <w:r>
      <w:rPr>
        <w:rStyle w:val="38"/>
      </w:rPr>
      <w:instrText xml:space="preserve">PAGE  </w:instrText>
    </w:r>
    <w: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rPr>
        <w:sz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422"/>
        <w:tab w:val="left" w:pos="5661"/>
      </w:tabs>
      <w:jc w:val="center"/>
      <w:rPr>
        <w:sz w:val="22"/>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37</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211E64"/>
    <w:multiLevelType w:val="multilevel"/>
    <w:tmpl w:val="1E211E64"/>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21"/>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484EB984"/>
    <w:multiLevelType w:val="singleLevel"/>
    <w:tmpl w:val="484EB984"/>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9"/>
  <w:bordersDoNotSurroundHeader w:val="0"/>
  <w:bordersDoNotSurroundFooter w:val="0"/>
  <w:hideSpellingError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mMwOGE3OWRiNDgyZTU2ZTg5YWQ2MDIzY2FjMmMyYjgifQ=="/>
  </w:docVars>
  <w:rsids>
    <w:rsidRoot w:val="00172A27"/>
    <w:rsid w:val="00000185"/>
    <w:rsid w:val="000004F0"/>
    <w:rsid w:val="00002847"/>
    <w:rsid w:val="000060B3"/>
    <w:rsid w:val="00010DDE"/>
    <w:rsid w:val="000207A8"/>
    <w:rsid w:val="00021A83"/>
    <w:rsid w:val="00030944"/>
    <w:rsid w:val="00032070"/>
    <w:rsid w:val="000411E4"/>
    <w:rsid w:val="0004364B"/>
    <w:rsid w:val="00045A0F"/>
    <w:rsid w:val="0005081C"/>
    <w:rsid w:val="00053B91"/>
    <w:rsid w:val="0006130C"/>
    <w:rsid w:val="00061B1F"/>
    <w:rsid w:val="00064896"/>
    <w:rsid w:val="000649C1"/>
    <w:rsid w:val="000671C3"/>
    <w:rsid w:val="000733C4"/>
    <w:rsid w:val="00074783"/>
    <w:rsid w:val="00076257"/>
    <w:rsid w:val="0008070B"/>
    <w:rsid w:val="000810AC"/>
    <w:rsid w:val="00081A02"/>
    <w:rsid w:val="00081C51"/>
    <w:rsid w:val="00082231"/>
    <w:rsid w:val="00084517"/>
    <w:rsid w:val="00092D38"/>
    <w:rsid w:val="0009377B"/>
    <w:rsid w:val="0009401C"/>
    <w:rsid w:val="00095BF2"/>
    <w:rsid w:val="000A173E"/>
    <w:rsid w:val="000A1F0A"/>
    <w:rsid w:val="000A20C9"/>
    <w:rsid w:val="000A3407"/>
    <w:rsid w:val="000A3E2B"/>
    <w:rsid w:val="000A52C2"/>
    <w:rsid w:val="000B058F"/>
    <w:rsid w:val="000B1317"/>
    <w:rsid w:val="000B4467"/>
    <w:rsid w:val="000B4DB9"/>
    <w:rsid w:val="000C09AC"/>
    <w:rsid w:val="000C0E8F"/>
    <w:rsid w:val="000C1F23"/>
    <w:rsid w:val="000C2EB7"/>
    <w:rsid w:val="000C5952"/>
    <w:rsid w:val="000C767F"/>
    <w:rsid w:val="000C772E"/>
    <w:rsid w:val="000D5A44"/>
    <w:rsid w:val="000D7428"/>
    <w:rsid w:val="000E1C97"/>
    <w:rsid w:val="000E3ED2"/>
    <w:rsid w:val="000F0E34"/>
    <w:rsid w:val="000F1927"/>
    <w:rsid w:val="000F28D4"/>
    <w:rsid w:val="00106188"/>
    <w:rsid w:val="00107C4A"/>
    <w:rsid w:val="00116591"/>
    <w:rsid w:val="0012532D"/>
    <w:rsid w:val="001315D9"/>
    <w:rsid w:val="00131F42"/>
    <w:rsid w:val="00132423"/>
    <w:rsid w:val="0013393B"/>
    <w:rsid w:val="00134E83"/>
    <w:rsid w:val="001357F1"/>
    <w:rsid w:val="00140FA8"/>
    <w:rsid w:val="00142B27"/>
    <w:rsid w:val="00142FEB"/>
    <w:rsid w:val="00143A2D"/>
    <w:rsid w:val="00145A41"/>
    <w:rsid w:val="00151675"/>
    <w:rsid w:val="00157435"/>
    <w:rsid w:val="00163B47"/>
    <w:rsid w:val="00166657"/>
    <w:rsid w:val="00170572"/>
    <w:rsid w:val="00172A27"/>
    <w:rsid w:val="00174C6E"/>
    <w:rsid w:val="0017504D"/>
    <w:rsid w:val="0017671A"/>
    <w:rsid w:val="00176EAD"/>
    <w:rsid w:val="00177422"/>
    <w:rsid w:val="00180B79"/>
    <w:rsid w:val="00180F69"/>
    <w:rsid w:val="00181DF1"/>
    <w:rsid w:val="00184590"/>
    <w:rsid w:val="0018517B"/>
    <w:rsid w:val="00186938"/>
    <w:rsid w:val="001870D1"/>
    <w:rsid w:val="0018781E"/>
    <w:rsid w:val="0019262D"/>
    <w:rsid w:val="00194894"/>
    <w:rsid w:val="00197831"/>
    <w:rsid w:val="00197AB8"/>
    <w:rsid w:val="001A1B35"/>
    <w:rsid w:val="001A3AC8"/>
    <w:rsid w:val="001A48A2"/>
    <w:rsid w:val="001A6F61"/>
    <w:rsid w:val="001B035D"/>
    <w:rsid w:val="001B0CFD"/>
    <w:rsid w:val="001B533A"/>
    <w:rsid w:val="001B72B8"/>
    <w:rsid w:val="001C2DB1"/>
    <w:rsid w:val="001C67E4"/>
    <w:rsid w:val="001C69B3"/>
    <w:rsid w:val="001D0054"/>
    <w:rsid w:val="001D3C1A"/>
    <w:rsid w:val="001D47EF"/>
    <w:rsid w:val="001D5595"/>
    <w:rsid w:val="001D5762"/>
    <w:rsid w:val="001D71F8"/>
    <w:rsid w:val="001D7874"/>
    <w:rsid w:val="001D7F22"/>
    <w:rsid w:val="001E562D"/>
    <w:rsid w:val="001F0F17"/>
    <w:rsid w:val="001F3347"/>
    <w:rsid w:val="001F69E4"/>
    <w:rsid w:val="002002AD"/>
    <w:rsid w:val="00206BB3"/>
    <w:rsid w:val="002079B5"/>
    <w:rsid w:val="00211039"/>
    <w:rsid w:val="002125B4"/>
    <w:rsid w:val="002155B8"/>
    <w:rsid w:val="002208BF"/>
    <w:rsid w:val="00221C5B"/>
    <w:rsid w:val="00224839"/>
    <w:rsid w:val="002249B2"/>
    <w:rsid w:val="002258D7"/>
    <w:rsid w:val="00226574"/>
    <w:rsid w:val="0022744C"/>
    <w:rsid w:val="002278EC"/>
    <w:rsid w:val="0023280E"/>
    <w:rsid w:val="00233072"/>
    <w:rsid w:val="002377D1"/>
    <w:rsid w:val="00243812"/>
    <w:rsid w:val="00245D70"/>
    <w:rsid w:val="002462DB"/>
    <w:rsid w:val="0024765A"/>
    <w:rsid w:val="002506BC"/>
    <w:rsid w:val="0025423B"/>
    <w:rsid w:val="00254345"/>
    <w:rsid w:val="0025756E"/>
    <w:rsid w:val="00260A13"/>
    <w:rsid w:val="00260BCD"/>
    <w:rsid w:val="00261684"/>
    <w:rsid w:val="002624CC"/>
    <w:rsid w:val="0026351B"/>
    <w:rsid w:val="00264557"/>
    <w:rsid w:val="002713FD"/>
    <w:rsid w:val="00273118"/>
    <w:rsid w:val="002805AB"/>
    <w:rsid w:val="00284204"/>
    <w:rsid w:val="002844CF"/>
    <w:rsid w:val="00286BD5"/>
    <w:rsid w:val="00291773"/>
    <w:rsid w:val="00291E64"/>
    <w:rsid w:val="00292BF2"/>
    <w:rsid w:val="002932FC"/>
    <w:rsid w:val="002A0092"/>
    <w:rsid w:val="002A1370"/>
    <w:rsid w:val="002A163F"/>
    <w:rsid w:val="002A168C"/>
    <w:rsid w:val="002A3DC7"/>
    <w:rsid w:val="002A5A29"/>
    <w:rsid w:val="002A621B"/>
    <w:rsid w:val="002B2394"/>
    <w:rsid w:val="002B49E2"/>
    <w:rsid w:val="002B7B00"/>
    <w:rsid w:val="002B7C44"/>
    <w:rsid w:val="002C2B17"/>
    <w:rsid w:val="002C6EDF"/>
    <w:rsid w:val="002D3DD0"/>
    <w:rsid w:val="002D4333"/>
    <w:rsid w:val="002D6717"/>
    <w:rsid w:val="002E1F3A"/>
    <w:rsid w:val="002E298A"/>
    <w:rsid w:val="002E2C05"/>
    <w:rsid w:val="002E3512"/>
    <w:rsid w:val="002E670D"/>
    <w:rsid w:val="002F587A"/>
    <w:rsid w:val="002F7A4B"/>
    <w:rsid w:val="00301978"/>
    <w:rsid w:val="003032E0"/>
    <w:rsid w:val="0030332C"/>
    <w:rsid w:val="003051C2"/>
    <w:rsid w:val="003055E2"/>
    <w:rsid w:val="00306FA6"/>
    <w:rsid w:val="00312296"/>
    <w:rsid w:val="00314F0E"/>
    <w:rsid w:val="00316FE4"/>
    <w:rsid w:val="00321D8E"/>
    <w:rsid w:val="00321FAA"/>
    <w:rsid w:val="0032565C"/>
    <w:rsid w:val="003257F2"/>
    <w:rsid w:val="00325928"/>
    <w:rsid w:val="00332863"/>
    <w:rsid w:val="0033684D"/>
    <w:rsid w:val="00337B42"/>
    <w:rsid w:val="00337D01"/>
    <w:rsid w:val="00341708"/>
    <w:rsid w:val="00341B42"/>
    <w:rsid w:val="0034348F"/>
    <w:rsid w:val="00350B82"/>
    <w:rsid w:val="003535DF"/>
    <w:rsid w:val="00356653"/>
    <w:rsid w:val="0035743F"/>
    <w:rsid w:val="00357664"/>
    <w:rsid w:val="00357BE2"/>
    <w:rsid w:val="0036170C"/>
    <w:rsid w:val="00361D35"/>
    <w:rsid w:val="00362286"/>
    <w:rsid w:val="003644F9"/>
    <w:rsid w:val="00366E0F"/>
    <w:rsid w:val="00367952"/>
    <w:rsid w:val="00372289"/>
    <w:rsid w:val="003741AA"/>
    <w:rsid w:val="003751E6"/>
    <w:rsid w:val="00381A72"/>
    <w:rsid w:val="00384676"/>
    <w:rsid w:val="00390857"/>
    <w:rsid w:val="00395492"/>
    <w:rsid w:val="0039622C"/>
    <w:rsid w:val="003A146B"/>
    <w:rsid w:val="003A36B5"/>
    <w:rsid w:val="003A3857"/>
    <w:rsid w:val="003A4BF3"/>
    <w:rsid w:val="003A55C6"/>
    <w:rsid w:val="003B420D"/>
    <w:rsid w:val="003C090C"/>
    <w:rsid w:val="003C28DE"/>
    <w:rsid w:val="003C62D9"/>
    <w:rsid w:val="003C6C16"/>
    <w:rsid w:val="003C7D74"/>
    <w:rsid w:val="003D0B77"/>
    <w:rsid w:val="003D17F9"/>
    <w:rsid w:val="003D1B1D"/>
    <w:rsid w:val="003D1F4B"/>
    <w:rsid w:val="003D2340"/>
    <w:rsid w:val="003D3A89"/>
    <w:rsid w:val="003D794D"/>
    <w:rsid w:val="003E3058"/>
    <w:rsid w:val="003E72A4"/>
    <w:rsid w:val="003E76A9"/>
    <w:rsid w:val="003E77BF"/>
    <w:rsid w:val="003E7BCC"/>
    <w:rsid w:val="003F0809"/>
    <w:rsid w:val="003F115B"/>
    <w:rsid w:val="003F3B8E"/>
    <w:rsid w:val="003F6A8C"/>
    <w:rsid w:val="003F755C"/>
    <w:rsid w:val="00405416"/>
    <w:rsid w:val="00406F01"/>
    <w:rsid w:val="0041128D"/>
    <w:rsid w:val="004120FD"/>
    <w:rsid w:val="00416D50"/>
    <w:rsid w:val="00416FD5"/>
    <w:rsid w:val="00417031"/>
    <w:rsid w:val="00417772"/>
    <w:rsid w:val="00420E6A"/>
    <w:rsid w:val="00425A9E"/>
    <w:rsid w:val="00426D6B"/>
    <w:rsid w:val="00431E6C"/>
    <w:rsid w:val="00433CE7"/>
    <w:rsid w:val="0043667C"/>
    <w:rsid w:val="00450037"/>
    <w:rsid w:val="00452738"/>
    <w:rsid w:val="00456091"/>
    <w:rsid w:val="00466321"/>
    <w:rsid w:val="00467747"/>
    <w:rsid w:val="00475C5D"/>
    <w:rsid w:val="0048065E"/>
    <w:rsid w:val="00484B9B"/>
    <w:rsid w:val="004855F6"/>
    <w:rsid w:val="0048661E"/>
    <w:rsid w:val="00494670"/>
    <w:rsid w:val="004970FD"/>
    <w:rsid w:val="00497DA8"/>
    <w:rsid w:val="004A3823"/>
    <w:rsid w:val="004A4B07"/>
    <w:rsid w:val="004B0205"/>
    <w:rsid w:val="004B5E61"/>
    <w:rsid w:val="004B66C1"/>
    <w:rsid w:val="004B7B61"/>
    <w:rsid w:val="004B7C50"/>
    <w:rsid w:val="004C113C"/>
    <w:rsid w:val="004D42D7"/>
    <w:rsid w:val="004D5CEE"/>
    <w:rsid w:val="004D6032"/>
    <w:rsid w:val="004D62F8"/>
    <w:rsid w:val="004E5047"/>
    <w:rsid w:val="004E6946"/>
    <w:rsid w:val="004F068E"/>
    <w:rsid w:val="004F1268"/>
    <w:rsid w:val="004F1AD8"/>
    <w:rsid w:val="004F6863"/>
    <w:rsid w:val="005039CB"/>
    <w:rsid w:val="0050558F"/>
    <w:rsid w:val="00506286"/>
    <w:rsid w:val="00510813"/>
    <w:rsid w:val="00511990"/>
    <w:rsid w:val="00511DE0"/>
    <w:rsid w:val="00513BC0"/>
    <w:rsid w:val="00514870"/>
    <w:rsid w:val="00514B9B"/>
    <w:rsid w:val="00517F02"/>
    <w:rsid w:val="005232E8"/>
    <w:rsid w:val="00524303"/>
    <w:rsid w:val="005258A2"/>
    <w:rsid w:val="005262DD"/>
    <w:rsid w:val="005270AC"/>
    <w:rsid w:val="0052798C"/>
    <w:rsid w:val="0053064E"/>
    <w:rsid w:val="005352FC"/>
    <w:rsid w:val="00537989"/>
    <w:rsid w:val="005401AE"/>
    <w:rsid w:val="00542E07"/>
    <w:rsid w:val="00545424"/>
    <w:rsid w:val="00546FA7"/>
    <w:rsid w:val="005506F4"/>
    <w:rsid w:val="00553A00"/>
    <w:rsid w:val="005541C3"/>
    <w:rsid w:val="00554A7B"/>
    <w:rsid w:val="0055572C"/>
    <w:rsid w:val="0055631B"/>
    <w:rsid w:val="0056106A"/>
    <w:rsid w:val="00561BF3"/>
    <w:rsid w:val="00563274"/>
    <w:rsid w:val="005720AE"/>
    <w:rsid w:val="005724E0"/>
    <w:rsid w:val="005732E1"/>
    <w:rsid w:val="00580E79"/>
    <w:rsid w:val="005819D7"/>
    <w:rsid w:val="005835D2"/>
    <w:rsid w:val="00594D77"/>
    <w:rsid w:val="005969E4"/>
    <w:rsid w:val="00597D9E"/>
    <w:rsid w:val="005A06B7"/>
    <w:rsid w:val="005A07C4"/>
    <w:rsid w:val="005A0F47"/>
    <w:rsid w:val="005A1759"/>
    <w:rsid w:val="005A3AE6"/>
    <w:rsid w:val="005A68A7"/>
    <w:rsid w:val="005B57F0"/>
    <w:rsid w:val="005B5A2A"/>
    <w:rsid w:val="005C5A59"/>
    <w:rsid w:val="005D058E"/>
    <w:rsid w:val="005D36AB"/>
    <w:rsid w:val="005E148B"/>
    <w:rsid w:val="005F2FB6"/>
    <w:rsid w:val="005F7830"/>
    <w:rsid w:val="0060035D"/>
    <w:rsid w:val="00601E89"/>
    <w:rsid w:val="00607B53"/>
    <w:rsid w:val="00610D6F"/>
    <w:rsid w:val="006140F3"/>
    <w:rsid w:val="00617CC3"/>
    <w:rsid w:val="00620E94"/>
    <w:rsid w:val="00623AE5"/>
    <w:rsid w:val="0062494A"/>
    <w:rsid w:val="00630878"/>
    <w:rsid w:val="006344D1"/>
    <w:rsid w:val="0063532A"/>
    <w:rsid w:val="006377A6"/>
    <w:rsid w:val="00637A3D"/>
    <w:rsid w:val="0064113F"/>
    <w:rsid w:val="0064114B"/>
    <w:rsid w:val="006411EF"/>
    <w:rsid w:val="00642D6A"/>
    <w:rsid w:val="00642DA8"/>
    <w:rsid w:val="00645D50"/>
    <w:rsid w:val="00650531"/>
    <w:rsid w:val="00654243"/>
    <w:rsid w:val="0065616E"/>
    <w:rsid w:val="00657F3B"/>
    <w:rsid w:val="00664BE6"/>
    <w:rsid w:val="006742D3"/>
    <w:rsid w:val="006748B8"/>
    <w:rsid w:val="006775C3"/>
    <w:rsid w:val="006817CE"/>
    <w:rsid w:val="00691895"/>
    <w:rsid w:val="00691C60"/>
    <w:rsid w:val="0069290A"/>
    <w:rsid w:val="00693302"/>
    <w:rsid w:val="006964A9"/>
    <w:rsid w:val="0069775A"/>
    <w:rsid w:val="00697813"/>
    <w:rsid w:val="006A08A6"/>
    <w:rsid w:val="006A1416"/>
    <w:rsid w:val="006A3EE8"/>
    <w:rsid w:val="006A72BF"/>
    <w:rsid w:val="006A7EF0"/>
    <w:rsid w:val="006B03F2"/>
    <w:rsid w:val="006B37DC"/>
    <w:rsid w:val="006B4F68"/>
    <w:rsid w:val="006C0592"/>
    <w:rsid w:val="006C272E"/>
    <w:rsid w:val="006C5479"/>
    <w:rsid w:val="006D01D2"/>
    <w:rsid w:val="006D13B5"/>
    <w:rsid w:val="006D2D2F"/>
    <w:rsid w:val="006D42DB"/>
    <w:rsid w:val="006D4DEA"/>
    <w:rsid w:val="006E12FF"/>
    <w:rsid w:val="006E1A5D"/>
    <w:rsid w:val="006E2388"/>
    <w:rsid w:val="006E36E8"/>
    <w:rsid w:val="006E3A12"/>
    <w:rsid w:val="006E607E"/>
    <w:rsid w:val="006F0328"/>
    <w:rsid w:val="006F4871"/>
    <w:rsid w:val="006F54A4"/>
    <w:rsid w:val="006F56EC"/>
    <w:rsid w:val="006F684D"/>
    <w:rsid w:val="006F721B"/>
    <w:rsid w:val="00701E75"/>
    <w:rsid w:val="0070260B"/>
    <w:rsid w:val="00702ADD"/>
    <w:rsid w:val="00704B7F"/>
    <w:rsid w:val="00706C5D"/>
    <w:rsid w:val="007141FB"/>
    <w:rsid w:val="007268E8"/>
    <w:rsid w:val="00732922"/>
    <w:rsid w:val="00733964"/>
    <w:rsid w:val="00734D7A"/>
    <w:rsid w:val="007355B5"/>
    <w:rsid w:val="007449B4"/>
    <w:rsid w:val="00744A40"/>
    <w:rsid w:val="0075162E"/>
    <w:rsid w:val="00754034"/>
    <w:rsid w:val="00755334"/>
    <w:rsid w:val="00756556"/>
    <w:rsid w:val="007618C4"/>
    <w:rsid w:val="00763354"/>
    <w:rsid w:val="00767980"/>
    <w:rsid w:val="00767D5B"/>
    <w:rsid w:val="00770028"/>
    <w:rsid w:val="00770233"/>
    <w:rsid w:val="007706E5"/>
    <w:rsid w:val="00770B19"/>
    <w:rsid w:val="0077463F"/>
    <w:rsid w:val="00776E7D"/>
    <w:rsid w:val="007836EA"/>
    <w:rsid w:val="0078481C"/>
    <w:rsid w:val="00784CDA"/>
    <w:rsid w:val="00787677"/>
    <w:rsid w:val="007906C4"/>
    <w:rsid w:val="00792971"/>
    <w:rsid w:val="007940EA"/>
    <w:rsid w:val="007967E8"/>
    <w:rsid w:val="007A2170"/>
    <w:rsid w:val="007A22BF"/>
    <w:rsid w:val="007A3323"/>
    <w:rsid w:val="007A4661"/>
    <w:rsid w:val="007A58BE"/>
    <w:rsid w:val="007A6113"/>
    <w:rsid w:val="007B18AE"/>
    <w:rsid w:val="007B2BD2"/>
    <w:rsid w:val="007B72B8"/>
    <w:rsid w:val="007B7A58"/>
    <w:rsid w:val="007C21B5"/>
    <w:rsid w:val="007C717F"/>
    <w:rsid w:val="007C79B0"/>
    <w:rsid w:val="007D00B5"/>
    <w:rsid w:val="007D1974"/>
    <w:rsid w:val="007E029C"/>
    <w:rsid w:val="007E160F"/>
    <w:rsid w:val="007E48A3"/>
    <w:rsid w:val="007E4ACD"/>
    <w:rsid w:val="007E4BD2"/>
    <w:rsid w:val="007E5125"/>
    <w:rsid w:val="007F47C8"/>
    <w:rsid w:val="007F578A"/>
    <w:rsid w:val="00801393"/>
    <w:rsid w:val="00802909"/>
    <w:rsid w:val="00802F88"/>
    <w:rsid w:val="0081293E"/>
    <w:rsid w:val="00814321"/>
    <w:rsid w:val="00815465"/>
    <w:rsid w:val="00817E9A"/>
    <w:rsid w:val="0082171E"/>
    <w:rsid w:val="00822757"/>
    <w:rsid w:val="00822BA4"/>
    <w:rsid w:val="00824F5B"/>
    <w:rsid w:val="00825E35"/>
    <w:rsid w:val="008306BD"/>
    <w:rsid w:val="00831A80"/>
    <w:rsid w:val="00833743"/>
    <w:rsid w:val="008340A4"/>
    <w:rsid w:val="00846033"/>
    <w:rsid w:val="0085116B"/>
    <w:rsid w:val="00851818"/>
    <w:rsid w:val="008555AE"/>
    <w:rsid w:val="00865BEB"/>
    <w:rsid w:val="00870F83"/>
    <w:rsid w:val="0087135F"/>
    <w:rsid w:val="00872D94"/>
    <w:rsid w:val="00880364"/>
    <w:rsid w:val="0088092B"/>
    <w:rsid w:val="0088171B"/>
    <w:rsid w:val="00882721"/>
    <w:rsid w:val="00891592"/>
    <w:rsid w:val="00891E9E"/>
    <w:rsid w:val="0089225F"/>
    <w:rsid w:val="00897238"/>
    <w:rsid w:val="008A0386"/>
    <w:rsid w:val="008A2F68"/>
    <w:rsid w:val="008A38C7"/>
    <w:rsid w:val="008A53B5"/>
    <w:rsid w:val="008A6C7D"/>
    <w:rsid w:val="008A703D"/>
    <w:rsid w:val="008B4FA6"/>
    <w:rsid w:val="008B5282"/>
    <w:rsid w:val="008B7C17"/>
    <w:rsid w:val="008C2D01"/>
    <w:rsid w:val="008C3D7D"/>
    <w:rsid w:val="008C40E6"/>
    <w:rsid w:val="008C480A"/>
    <w:rsid w:val="008D0F7A"/>
    <w:rsid w:val="008D68E4"/>
    <w:rsid w:val="008E0175"/>
    <w:rsid w:val="008E0506"/>
    <w:rsid w:val="008E0CFF"/>
    <w:rsid w:val="008E5D6B"/>
    <w:rsid w:val="008E7330"/>
    <w:rsid w:val="008E756E"/>
    <w:rsid w:val="008E76F0"/>
    <w:rsid w:val="008E77ED"/>
    <w:rsid w:val="008F018C"/>
    <w:rsid w:val="008F0AAA"/>
    <w:rsid w:val="008F15FE"/>
    <w:rsid w:val="008F2D29"/>
    <w:rsid w:val="008F5187"/>
    <w:rsid w:val="008F60D8"/>
    <w:rsid w:val="00902727"/>
    <w:rsid w:val="0090312B"/>
    <w:rsid w:val="00905415"/>
    <w:rsid w:val="0091736D"/>
    <w:rsid w:val="00922895"/>
    <w:rsid w:val="00922955"/>
    <w:rsid w:val="0092300A"/>
    <w:rsid w:val="009243D9"/>
    <w:rsid w:val="009255E0"/>
    <w:rsid w:val="0093037A"/>
    <w:rsid w:val="00931CC3"/>
    <w:rsid w:val="00932ACF"/>
    <w:rsid w:val="00934C08"/>
    <w:rsid w:val="0094154D"/>
    <w:rsid w:val="009436CF"/>
    <w:rsid w:val="00943CEF"/>
    <w:rsid w:val="00945C7D"/>
    <w:rsid w:val="0095155F"/>
    <w:rsid w:val="00951F8E"/>
    <w:rsid w:val="00954429"/>
    <w:rsid w:val="009563CE"/>
    <w:rsid w:val="00956B51"/>
    <w:rsid w:val="009603D0"/>
    <w:rsid w:val="00961044"/>
    <w:rsid w:val="00964232"/>
    <w:rsid w:val="00965ED1"/>
    <w:rsid w:val="00966F90"/>
    <w:rsid w:val="0097586D"/>
    <w:rsid w:val="00976328"/>
    <w:rsid w:val="0097680D"/>
    <w:rsid w:val="00982438"/>
    <w:rsid w:val="00983A1B"/>
    <w:rsid w:val="0098404C"/>
    <w:rsid w:val="00985283"/>
    <w:rsid w:val="0098735E"/>
    <w:rsid w:val="00995992"/>
    <w:rsid w:val="009A03E5"/>
    <w:rsid w:val="009A0F3B"/>
    <w:rsid w:val="009A1419"/>
    <w:rsid w:val="009A1BB4"/>
    <w:rsid w:val="009A2628"/>
    <w:rsid w:val="009A2642"/>
    <w:rsid w:val="009A3200"/>
    <w:rsid w:val="009A5CBF"/>
    <w:rsid w:val="009B0897"/>
    <w:rsid w:val="009B1C06"/>
    <w:rsid w:val="009B7BD9"/>
    <w:rsid w:val="009B7E08"/>
    <w:rsid w:val="009C5165"/>
    <w:rsid w:val="009C7DD5"/>
    <w:rsid w:val="009D5477"/>
    <w:rsid w:val="009D7729"/>
    <w:rsid w:val="009E227D"/>
    <w:rsid w:val="009E3691"/>
    <w:rsid w:val="009E3A79"/>
    <w:rsid w:val="009E5019"/>
    <w:rsid w:val="009F5598"/>
    <w:rsid w:val="00A01FA5"/>
    <w:rsid w:val="00A028AC"/>
    <w:rsid w:val="00A02A0E"/>
    <w:rsid w:val="00A04072"/>
    <w:rsid w:val="00A04F1B"/>
    <w:rsid w:val="00A0501B"/>
    <w:rsid w:val="00A07290"/>
    <w:rsid w:val="00A077F9"/>
    <w:rsid w:val="00A10BFC"/>
    <w:rsid w:val="00A11431"/>
    <w:rsid w:val="00A14947"/>
    <w:rsid w:val="00A16B10"/>
    <w:rsid w:val="00A2091D"/>
    <w:rsid w:val="00A22ED5"/>
    <w:rsid w:val="00A24E9C"/>
    <w:rsid w:val="00A321BE"/>
    <w:rsid w:val="00A32A83"/>
    <w:rsid w:val="00A33A9B"/>
    <w:rsid w:val="00A3564B"/>
    <w:rsid w:val="00A368DB"/>
    <w:rsid w:val="00A423AA"/>
    <w:rsid w:val="00A52681"/>
    <w:rsid w:val="00A53EC6"/>
    <w:rsid w:val="00A55C0F"/>
    <w:rsid w:val="00A55CE1"/>
    <w:rsid w:val="00A5778A"/>
    <w:rsid w:val="00A63811"/>
    <w:rsid w:val="00A656EE"/>
    <w:rsid w:val="00A75FE7"/>
    <w:rsid w:val="00A764A6"/>
    <w:rsid w:val="00A82252"/>
    <w:rsid w:val="00A82A31"/>
    <w:rsid w:val="00A85740"/>
    <w:rsid w:val="00A8713F"/>
    <w:rsid w:val="00A90BA1"/>
    <w:rsid w:val="00A97A9A"/>
    <w:rsid w:val="00AA0671"/>
    <w:rsid w:val="00AA2531"/>
    <w:rsid w:val="00AA3007"/>
    <w:rsid w:val="00AB1E09"/>
    <w:rsid w:val="00AB5330"/>
    <w:rsid w:val="00AB7747"/>
    <w:rsid w:val="00AC0CA7"/>
    <w:rsid w:val="00AC0D4B"/>
    <w:rsid w:val="00AC14CE"/>
    <w:rsid w:val="00AC2227"/>
    <w:rsid w:val="00AC2A56"/>
    <w:rsid w:val="00AC3816"/>
    <w:rsid w:val="00AC4E72"/>
    <w:rsid w:val="00AC6A7E"/>
    <w:rsid w:val="00AD055E"/>
    <w:rsid w:val="00AD2B59"/>
    <w:rsid w:val="00AD4480"/>
    <w:rsid w:val="00AD47A7"/>
    <w:rsid w:val="00AD68C6"/>
    <w:rsid w:val="00AD7F64"/>
    <w:rsid w:val="00AE3C9D"/>
    <w:rsid w:val="00AF0CBF"/>
    <w:rsid w:val="00AF257F"/>
    <w:rsid w:val="00AF33CF"/>
    <w:rsid w:val="00AF4D50"/>
    <w:rsid w:val="00AF6179"/>
    <w:rsid w:val="00B004BF"/>
    <w:rsid w:val="00B02821"/>
    <w:rsid w:val="00B03DBA"/>
    <w:rsid w:val="00B06D08"/>
    <w:rsid w:val="00B07C68"/>
    <w:rsid w:val="00B1295A"/>
    <w:rsid w:val="00B177DB"/>
    <w:rsid w:val="00B20A45"/>
    <w:rsid w:val="00B22C5C"/>
    <w:rsid w:val="00B24F30"/>
    <w:rsid w:val="00B31A8F"/>
    <w:rsid w:val="00B31ABF"/>
    <w:rsid w:val="00B33BE3"/>
    <w:rsid w:val="00B3406C"/>
    <w:rsid w:val="00B34DB9"/>
    <w:rsid w:val="00B37A93"/>
    <w:rsid w:val="00B41880"/>
    <w:rsid w:val="00B45DB2"/>
    <w:rsid w:val="00B5245B"/>
    <w:rsid w:val="00B52A79"/>
    <w:rsid w:val="00B53B5D"/>
    <w:rsid w:val="00B56CE3"/>
    <w:rsid w:val="00B6055E"/>
    <w:rsid w:val="00B6317D"/>
    <w:rsid w:val="00B674EE"/>
    <w:rsid w:val="00B74280"/>
    <w:rsid w:val="00B7723F"/>
    <w:rsid w:val="00B80534"/>
    <w:rsid w:val="00B83963"/>
    <w:rsid w:val="00B8433C"/>
    <w:rsid w:val="00B87491"/>
    <w:rsid w:val="00B93DCE"/>
    <w:rsid w:val="00B951BC"/>
    <w:rsid w:val="00BA08B6"/>
    <w:rsid w:val="00BA29E9"/>
    <w:rsid w:val="00BA3951"/>
    <w:rsid w:val="00BA5BE1"/>
    <w:rsid w:val="00BA6CF0"/>
    <w:rsid w:val="00BA7142"/>
    <w:rsid w:val="00BB237C"/>
    <w:rsid w:val="00BB3C12"/>
    <w:rsid w:val="00BB41A3"/>
    <w:rsid w:val="00BC30A9"/>
    <w:rsid w:val="00BC32DC"/>
    <w:rsid w:val="00BC35B6"/>
    <w:rsid w:val="00BC3A71"/>
    <w:rsid w:val="00BC3DB9"/>
    <w:rsid w:val="00BD1B51"/>
    <w:rsid w:val="00BD4596"/>
    <w:rsid w:val="00BD4702"/>
    <w:rsid w:val="00BD4AB1"/>
    <w:rsid w:val="00BD5D11"/>
    <w:rsid w:val="00BD7849"/>
    <w:rsid w:val="00BE01C0"/>
    <w:rsid w:val="00BE1405"/>
    <w:rsid w:val="00BE312D"/>
    <w:rsid w:val="00BE5132"/>
    <w:rsid w:val="00BE6BCE"/>
    <w:rsid w:val="00BF1C20"/>
    <w:rsid w:val="00C10578"/>
    <w:rsid w:val="00C13587"/>
    <w:rsid w:val="00C135BC"/>
    <w:rsid w:val="00C150C2"/>
    <w:rsid w:val="00C15C95"/>
    <w:rsid w:val="00C2058A"/>
    <w:rsid w:val="00C22018"/>
    <w:rsid w:val="00C2596A"/>
    <w:rsid w:val="00C27537"/>
    <w:rsid w:val="00C31FEF"/>
    <w:rsid w:val="00C321AC"/>
    <w:rsid w:val="00C328FE"/>
    <w:rsid w:val="00C33507"/>
    <w:rsid w:val="00C4409D"/>
    <w:rsid w:val="00C44E72"/>
    <w:rsid w:val="00C45A06"/>
    <w:rsid w:val="00C47E5B"/>
    <w:rsid w:val="00C47F6A"/>
    <w:rsid w:val="00C5639A"/>
    <w:rsid w:val="00C61E4B"/>
    <w:rsid w:val="00C621F7"/>
    <w:rsid w:val="00C625E5"/>
    <w:rsid w:val="00C64BFF"/>
    <w:rsid w:val="00C6739E"/>
    <w:rsid w:val="00C704E9"/>
    <w:rsid w:val="00C75949"/>
    <w:rsid w:val="00C763C9"/>
    <w:rsid w:val="00C80057"/>
    <w:rsid w:val="00C82232"/>
    <w:rsid w:val="00C82913"/>
    <w:rsid w:val="00C875DB"/>
    <w:rsid w:val="00C9353E"/>
    <w:rsid w:val="00C94E1E"/>
    <w:rsid w:val="00C972B1"/>
    <w:rsid w:val="00CA1D81"/>
    <w:rsid w:val="00CA2CCE"/>
    <w:rsid w:val="00CA43E0"/>
    <w:rsid w:val="00CA43FD"/>
    <w:rsid w:val="00CA6F9D"/>
    <w:rsid w:val="00CA7531"/>
    <w:rsid w:val="00CA7DA8"/>
    <w:rsid w:val="00CA7EF8"/>
    <w:rsid w:val="00CB2DCB"/>
    <w:rsid w:val="00CC1434"/>
    <w:rsid w:val="00CC489B"/>
    <w:rsid w:val="00CD0C24"/>
    <w:rsid w:val="00CD232D"/>
    <w:rsid w:val="00CD2BCD"/>
    <w:rsid w:val="00CD3A4C"/>
    <w:rsid w:val="00CE10E9"/>
    <w:rsid w:val="00CE2910"/>
    <w:rsid w:val="00CE3132"/>
    <w:rsid w:val="00CE5321"/>
    <w:rsid w:val="00CE5393"/>
    <w:rsid w:val="00CF36BE"/>
    <w:rsid w:val="00CF6000"/>
    <w:rsid w:val="00CF6161"/>
    <w:rsid w:val="00CF6486"/>
    <w:rsid w:val="00D003F3"/>
    <w:rsid w:val="00D00CDE"/>
    <w:rsid w:val="00D0364F"/>
    <w:rsid w:val="00D03904"/>
    <w:rsid w:val="00D03AE3"/>
    <w:rsid w:val="00D06834"/>
    <w:rsid w:val="00D13323"/>
    <w:rsid w:val="00D1518F"/>
    <w:rsid w:val="00D16BB4"/>
    <w:rsid w:val="00D27E4D"/>
    <w:rsid w:val="00D308ED"/>
    <w:rsid w:val="00D30D72"/>
    <w:rsid w:val="00D324D8"/>
    <w:rsid w:val="00D36D86"/>
    <w:rsid w:val="00D37883"/>
    <w:rsid w:val="00D428AA"/>
    <w:rsid w:val="00D5002D"/>
    <w:rsid w:val="00D50A34"/>
    <w:rsid w:val="00D51F8A"/>
    <w:rsid w:val="00D52F5D"/>
    <w:rsid w:val="00D53EFA"/>
    <w:rsid w:val="00D64688"/>
    <w:rsid w:val="00D72A4E"/>
    <w:rsid w:val="00D7775C"/>
    <w:rsid w:val="00D777B0"/>
    <w:rsid w:val="00D81548"/>
    <w:rsid w:val="00D816EF"/>
    <w:rsid w:val="00D8271F"/>
    <w:rsid w:val="00D935D8"/>
    <w:rsid w:val="00D94A7C"/>
    <w:rsid w:val="00D95896"/>
    <w:rsid w:val="00DA34FC"/>
    <w:rsid w:val="00DA4DD0"/>
    <w:rsid w:val="00DB1FD2"/>
    <w:rsid w:val="00DB2983"/>
    <w:rsid w:val="00DC029C"/>
    <w:rsid w:val="00DC11E8"/>
    <w:rsid w:val="00DC1257"/>
    <w:rsid w:val="00DC3DC0"/>
    <w:rsid w:val="00DC5149"/>
    <w:rsid w:val="00DC5B2B"/>
    <w:rsid w:val="00DD0A31"/>
    <w:rsid w:val="00DD318D"/>
    <w:rsid w:val="00DE0F63"/>
    <w:rsid w:val="00DE1A33"/>
    <w:rsid w:val="00DE2251"/>
    <w:rsid w:val="00DE34C8"/>
    <w:rsid w:val="00DE5FD5"/>
    <w:rsid w:val="00DE630C"/>
    <w:rsid w:val="00DF0E69"/>
    <w:rsid w:val="00DF2E12"/>
    <w:rsid w:val="00DF514A"/>
    <w:rsid w:val="00DF5E8E"/>
    <w:rsid w:val="00DF6690"/>
    <w:rsid w:val="00DF6804"/>
    <w:rsid w:val="00E0358D"/>
    <w:rsid w:val="00E03C2E"/>
    <w:rsid w:val="00E04323"/>
    <w:rsid w:val="00E0574B"/>
    <w:rsid w:val="00E070A2"/>
    <w:rsid w:val="00E0770D"/>
    <w:rsid w:val="00E07909"/>
    <w:rsid w:val="00E13162"/>
    <w:rsid w:val="00E255D2"/>
    <w:rsid w:val="00E2656A"/>
    <w:rsid w:val="00E31B64"/>
    <w:rsid w:val="00E31CEC"/>
    <w:rsid w:val="00E339AA"/>
    <w:rsid w:val="00E37702"/>
    <w:rsid w:val="00E412D0"/>
    <w:rsid w:val="00E448C7"/>
    <w:rsid w:val="00E4783D"/>
    <w:rsid w:val="00E51CDC"/>
    <w:rsid w:val="00E52C5D"/>
    <w:rsid w:val="00E56322"/>
    <w:rsid w:val="00E60982"/>
    <w:rsid w:val="00E60E86"/>
    <w:rsid w:val="00E62C62"/>
    <w:rsid w:val="00E639BA"/>
    <w:rsid w:val="00E654C1"/>
    <w:rsid w:val="00E65D97"/>
    <w:rsid w:val="00E713A7"/>
    <w:rsid w:val="00E71BAF"/>
    <w:rsid w:val="00E72A5A"/>
    <w:rsid w:val="00E73354"/>
    <w:rsid w:val="00E83FB3"/>
    <w:rsid w:val="00E84072"/>
    <w:rsid w:val="00E863E5"/>
    <w:rsid w:val="00E9242D"/>
    <w:rsid w:val="00E93ACC"/>
    <w:rsid w:val="00EA45C7"/>
    <w:rsid w:val="00EA4F7C"/>
    <w:rsid w:val="00EA59BB"/>
    <w:rsid w:val="00EA5D63"/>
    <w:rsid w:val="00EA6146"/>
    <w:rsid w:val="00EB3403"/>
    <w:rsid w:val="00EB5255"/>
    <w:rsid w:val="00EB5C47"/>
    <w:rsid w:val="00EC26D3"/>
    <w:rsid w:val="00EC4C9B"/>
    <w:rsid w:val="00EC4FBD"/>
    <w:rsid w:val="00EC532D"/>
    <w:rsid w:val="00ED0639"/>
    <w:rsid w:val="00ED0BD1"/>
    <w:rsid w:val="00ED1FE8"/>
    <w:rsid w:val="00ED486E"/>
    <w:rsid w:val="00EE64F3"/>
    <w:rsid w:val="00EF4755"/>
    <w:rsid w:val="00EF704B"/>
    <w:rsid w:val="00EF7135"/>
    <w:rsid w:val="00F027DB"/>
    <w:rsid w:val="00F0781F"/>
    <w:rsid w:val="00F1022D"/>
    <w:rsid w:val="00F1053B"/>
    <w:rsid w:val="00F117CC"/>
    <w:rsid w:val="00F14A7A"/>
    <w:rsid w:val="00F21FCB"/>
    <w:rsid w:val="00F22985"/>
    <w:rsid w:val="00F22AC4"/>
    <w:rsid w:val="00F25DD0"/>
    <w:rsid w:val="00F27B62"/>
    <w:rsid w:val="00F320D7"/>
    <w:rsid w:val="00F3383E"/>
    <w:rsid w:val="00F33857"/>
    <w:rsid w:val="00F34EC7"/>
    <w:rsid w:val="00F41AD5"/>
    <w:rsid w:val="00F43EB2"/>
    <w:rsid w:val="00F43F46"/>
    <w:rsid w:val="00F465A7"/>
    <w:rsid w:val="00F50B7C"/>
    <w:rsid w:val="00F50D92"/>
    <w:rsid w:val="00F5283D"/>
    <w:rsid w:val="00F550E6"/>
    <w:rsid w:val="00F56ED0"/>
    <w:rsid w:val="00F57A3B"/>
    <w:rsid w:val="00F64594"/>
    <w:rsid w:val="00F74345"/>
    <w:rsid w:val="00F75ABE"/>
    <w:rsid w:val="00F763E3"/>
    <w:rsid w:val="00F80A0A"/>
    <w:rsid w:val="00F82B19"/>
    <w:rsid w:val="00F837D1"/>
    <w:rsid w:val="00F848FA"/>
    <w:rsid w:val="00F90974"/>
    <w:rsid w:val="00F9212D"/>
    <w:rsid w:val="00F965DA"/>
    <w:rsid w:val="00F967C5"/>
    <w:rsid w:val="00FA0027"/>
    <w:rsid w:val="00FA3B1B"/>
    <w:rsid w:val="00FA406A"/>
    <w:rsid w:val="00FB503A"/>
    <w:rsid w:val="00FB516C"/>
    <w:rsid w:val="00FC405A"/>
    <w:rsid w:val="00FC53B3"/>
    <w:rsid w:val="00FC7720"/>
    <w:rsid w:val="00FD0236"/>
    <w:rsid w:val="00FD18F4"/>
    <w:rsid w:val="00FD3EB6"/>
    <w:rsid w:val="00FD54DB"/>
    <w:rsid w:val="00FD5800"/>
    <w:rsid w:val="00FD60F7"/>
    <w:rsid w:val="00FD619F"/>
    <w:rsid w:val="00FE40CE"/>
    <w:rsid w:val="00FF5069"/>
    <w:rsid w:val="00FF5B4A"/>
    <w:rsid w:val="010F588D"/>
    <w:rsid w:val="01125AB1"/>
    <w:rsid w:val="011751DB"/>
    <w:rsid w:val="0118703F"/>
    <w:rsid w:val="0124362F"/>
    <w:rsid w:val="012617AD"/>
    <w:rsid w:val="01290F7E"/>
    <w:rsid w:val="012A4E5D"/>
    <w:rsid w:val="012D23A5"/>
    <w:rsid w:val="013247DC"/>
    <w:rsid w:val="013416E3"/>
    <w:rsid w:val="0136701D"/>
    <w:rsid w:val="01390C29"/>
    <w:rsid w:val="01397B2C"/>
    <w:rsid w:val="013F0665"/>
    <w:rsid w:val="01480341"/>
    <w:rsid w:val="014C5FF0"/>
    <w:rsid w:val="0159126E"/>
    <w:rsid w:val="015C0544"/>
    <w:rsid w:val="015D1E09"/>
    <w:rsid w:val="016179ED"/>
    <w:rsid w:val="016219E6"/>
    <w:rsid w:val="01635934"/>
    <w:rsid w:val="01793F84"/>
    <w:rsid w:val="01801FF1"/>
    <w:rsid w:val="01845335"/>
    <w:rsid w:val="01907898"/>
    <w:rsid w:val="01912E1F"/>
    <w:rsid w:val="01940CC2"/>
    <w:rsid w:val="019F5833"/>
    <w:rsid w:val="01A113E4"/>
    <w:rsid w:val="01A544B3"/>
    <w:rsid w:val="01B06749"/>
    <w:rsid w:val="01BC0429"/>
    <w:rsid w:val="01C856CE"/>
    <w:rsid w:val="01CA4DE4"/>
    <w:rsid w:val="01CB67C5"/>
    <w:rsid w:val="01CC48D4"/>
    <w:rsid w:val="01DB516D"/>
    <w:rsid w:val="01DC56AB"/>
    <w:rsid w:val="01DF44DF"/>
    <w:rsid w:val="01F20211"/>
    <w:rsid w:val="01F64D0F"/>
    <w:rsid w:val="020042B2"/>
    <w:rsid w:val="0204652D"/>
    <w:rsid w:val="0204665F"/>
    <w:rsid w:val="02077B96"/>
    <w:rsid w:val="02104194"/>
    <w:rsid w:val="021262D9"/>
    <w:rsid w:val="021676C5"/>
    <w:rsid w:val="021B1F49"/>
    <w:rsid w:val="021D0446"/>
    <w:rsid w:val="02201D8C"/>
    <w:rsid w:val="022455A6"/>
    <w:rsid w:val="022F6CC6"/>
    <w:rsid w:val="023F4D13"/>
    <w:rsid w:val="024048E1"/>
    <w:rsid w:val="0249758D"/>
    <w:rsid w:val="02502671"/>
    <w:rsid w:val="0252715D"/>
    <w:rsid w:val="025509E9"/>
    <w:rsid w:val="025E5C36"/>
    <w:rsid w:val="025E7141"/>
    <w:rsid w:val="025F4842"/>
    <w:rsid w:val="02616750"/>
    <w:rsid w:val="026620C3"/>
    <w:rsid w:val="02697903"/>
    <w:rsid w:val="026A0C5D"/>
    <w:rsid w:val="026C2DC5"/>
    <w:rsid w:val="0288620A"/>
    <w:rsid w:val="028D30B9"/>
    <w:rsid w:val="028F5918"/>
    <w:rsid w:val="029B2978"/>
    <w:rsid w:val="02B10BBB"/>
    <w:rsid w:val="02B235B5"/>
    <w:rsid w:val="02B86B10"/>
    <w:rsid w:val="02D00F88"/>
    <w:rsid w:val="02D02869"/>
    <w:rsid w:val="02D12D4A"/>
    <w:rsid w:val="02D84414"/>
    <w:rsid w:val="02F05385"/>
    <w:rsid w:val="02F91852"/>
    <w:rsid w:val="02F9272A"/>
    <w:rsid w:val="02F96569"/>
    <w:rsid w:val="02FE40D8"/>
    <w:rsid w:val="03084CFA"/>
    <w:rsid w:val="03094561"/>
    <w:rsid w:val="030A5D02"/>
    <w:rsid w:val="030C0265"/>
    <w:rsid w:val="03212C3A"/>
    <w:rsid w:val="0328714A"/>
    <w:rsid w:val="033A7554"/>
    <w:rsid w:val="03401773"/>
    <w:rsid w:val="034308C6"/>
    <w:rsid w:val="03432F00"/>
    <w:rsid w:val="03440144"/>
    <w:rsid w:val="0346248B"/>
    <w:rsid w:val="034B1319"/>
    <w:rsid w:val="03617AE9"/>
    <w:rsid w:val="0365214C"/>
    <w:rsid w:val="03782E13"/>
    <w:rsid w:val="03795BF7"/>
    <w:rsid w:val="037E4FBC"/>
    <w:rsid w:val="037F0514"/>
    <w:rsid w:val="03852F61"/>
    <w:rsid w:val="039B3DC0"/>
    <w:rsid w:val="03A460EE"/>
    <w:rsid w:val="03BF0997"/>
    <w:rsid w:val="03C47889"/>
    <w:rsid w:val="03CC71E1"/>
    <w:rsid w:val="03DA0291"/>
    <w:rsid w:val="03DF14FA"/>
    <w:rsid w:val="03E11B68"/>
    <w:rsid w:val="03EA7B21"/>
    <w:rsid w:val="03EE3DF4"/>
    <w:rsid w:val="040C3FA8"/>
    <w:rsid w:val="040E45E6"/>
    <w:rsid w:val="040E5945"/>
    <w:rsid w:val="04110254"/>
    <w:rsid w:val="0414147C"/>
    <w:rsid w:val="041760EA"/>
    <w:rsid w:val="042B4F73"/>
    <w:rsid w:val="042C7BB3"/>
    <w:rsid w:val="04317F55"/>
    <w:rsid w:val="04332A54"/>
    <w:rsid w:val="0438160E"/>
    <w:rsid w:val="04442783"/>
    <w:rsid w:val="0446526E"/>
    <w:rsid w:val="04484757"/>
    <w:rsid w:val="0452401F"/>
    <w:rsid w:val="04530935"/>
    <w:rsid w:val="0455351C"/>
    <w:rsid w:val="046046C1"/>
    <w:rsid w:val="046056C0"/>
    <w:rsid w:val="04686C38"/>
    <w:rsid w:val="04692E65"/>
    <w:rsid w:val="04823A87"/>
    <w:rsid w:val="04860669"/>
    <w:rsid w:val="048B354D"/>
    <w:rsid w:val="048E6388"/>
    <w:rsid w:val="04A0078B"/>
    <w:rsid w:val="04A722F0"/>
    <w:rsid w:val="04AC5DEC"/>
    <w:rsid w:val="04B213C1"/>
    <w:rsid w:val="04C37864"/>
    <w:rsid w:val="04C875EE"/>
    <w:rsid w:val="04D47CBD"/>
    <w:rsid w:val="04D94038"/>
    <w:rsid w:val="04E4516B"/>
    <w:rsid w:val="04E51345"/>
    <w:rsid w:val="04E622BB"/>
    <w:rsid w:val="04E90AE0"/>
    <w:rsid w:val="04ED064B"/>
    <w:rsid w:val="04FE05ED"/>
    <w:rsid w:val="05044F2C"/>
    <w:rsid w:val="05045D49"/>
    <w:rsid w:val="05066382"/>
    <w:rsid w:val="050953A9"/>
    <w:rsid w:val="051B0991"/>
    <w:rsid w:val="052A0B2C"/>
    <w:rsid w:val="052B1173"/>
    <w:rsid w:val="05322502"/>
    <w:rsid w:val="053C517F"/>
    <w:rsid w:val="053F69CD"/>
    <w:rsid w:val="054A271C"/>
    <w:rsid w:val="054A784B"/>
    <w:rsid w:val="054C1DD4"/>
    <w:rsid w:val="054E3F54"/>
    <w:rsid w:val="05504736"/>
    <w:rsid w:val="055406CA"/>
    <w:rsid w:val="056A0F14"/>
    <w:rsid w:val="056A57F8"/>
    <w:rsid w:val="056F69DB"/>
    <w:rsid w:val="059174B8"/>
    <w:rsid w:val="05A30D4B"/>
    <w:rsid w:val="05A9271E"/>
    <w:rsid w:val="05AF70EC"/>
    <w:rsid w:val="05B14F49"/>
    <w:rsid w:val="05B20F4D"/>
    <w:rsid w:val="05B225B3"/>
    <w:rsid w:val="05BD626F"/>
    <w:rsid w:val="05C176BC"/>
    <w:rsid w:val="05C84DC1"/>
    <w:rsid w:val="05CA3AE1"/>
    <w:rsid w:val="05D45367"/>
    <w:rsid w:val="05D52234"/>
    <w:rsid w:val="05DB04A3"/>
    <w:rsid w:val="05DD707A"/>
    <w:rsid w:val="05DF4273"/>
    <w:rsid w:val="05E14A11"/>
    <w:rsid w:val="05E337FC"/>
    <w:rsid w:val="05F70659"/>
    <w:rsid w:val="05F83EAE"/>
    <w:rsid w:val="0603680B"/>
    <w:rsid w:val="061024BD"/>
    <w:rsid w:val="06195649"/>
    <w:rsid w:val="061D0515"/>
    <w:rsid w:val="063016E0"/>
    <w:rsid w:val="06304C93"/>
    <w:rsid w:val="06314324"/>
    <w:rsid w:val="06390B8F"/>
    <w:rsid w:val="063E7D85"/>
    <w:rsid w:val="06406D94"/>
    <w:rsid w:val="06421D37"/>
    <w:rsid w:val="0643752F"/>
    <w:rsid w:val="0658306C"/>
    <w:rsid w:val="065E16A7"/>
    <w:rsid w:val="067552A6"/>
    <w:rsid w:val="067703BC"/>
    <w:rsid w:val="06782A6D"/>
    <w:rsid w:val="067E2078"/>
    <w:rsid w:val="0688425F"/>
    <w:rsid w:val="068B53FB"/>
    <w:rsid w:val="068E1CDF"/>
    <w:rsid w:val="06922856"/>
    <w:rsid w:val="069276C1"/>
    <w:rsid w:val="069820CD"/>
    <w:rsid w:val="06984144"/>
    <w:rsid w:val="069E611E"/>
    <w:rsid w:val="06A075D2"/>
    <w:rsid w:val="06A632EE"/>
    <w:rsid w:val="06A9390E"/>
    <w:rsid w:val="06AC5D54"/>
    <w:rsid w:val="06AE06AE"/>
    <w:rsid w:val="06AF0BC6"/>
    <w:rsid w:val="06BF017C"/>
    <w:rsid w:val="06C0053F"/>
    <w:rsid w:val="06C139F0"/>
    <w:rsid w:val="06C24489"/>
    <w:rsid w:val="06C40820"/>
    <w:rsid w:val="06C672A7"/>
    <w:rsid w:val="06D22A0E"/>
    <w:rsid w:val="06E40369"/>
    <w:rsid w:val="06EB1F0A"/>
    <w:rsid w:val="0717686E"/>
    <w:rsid w:val="0720198F"/>
    <w:rsid w:val="07267F5B"/>
    <w:rsid w:val="07293586"/>
    <w:rsid w:val="07295285"/>
    <w:rsid w:val="072A6AC7"/>
    <w:rsid w:val="073267E9"/>
    <w:rsid w:val="0735384D"/>
    <w:rsid w:val="073B5968"/>
    <w:rsid w:val="07407912"/>
    <w:rsid w:val="0743335C"/>
    <w:rsid w:val="07490301"/>
    <w:rsid w:val="074C01ED"/>
    <w:rsid w:val="07511886"/>
    <w:rsid w:val="0755013E"/>
    <w:rsid w:val="07554285"/>
    <w:rsid w:val="075878F1"/>
    <w:rsid w:val="07636392"/>
    <w:rsid w:val="0763665A"/>
    <w:rsid w:val="076E6E2A"/>
    <w:rsid w:val="07770C56"/>
    <w:rsid w:val="077974D5"/>
    <w:rsid w:val="077C6024"/>
    <w:rsid w:val="077E7F55"/>
    <w:rsid w:val="07822A15"/>
    <w:rsid w:val="07823B38"/>
    <w:rsid w:val="0783617E"/>
    <w:rsid w:val="078801B7"/>
    <w:rsid w:val="078931D1"/>
    <w:rsid w:val="078F74BC"/>
    <w:rsid w:val="07956256"/>
    <w:rsid w:val="079D43F3"/>
    <w:rsid w:val="07A1396F"/>
    <w:rsid w:val="07A830A1"/>
    <w:rsid w:val="07AD5E6F"/>
    <w:rsid w:val="07B203FD"/>
    <w:rsid w:val="07B65330"/>
    <w:rsid w:val="07BA70DC"/>
    <w:rsid w:val="07BB6F29"/>
    <w:rsid w:val="07BF4766"/>
    <w:rsid w:val="07C32EBD"/>
    <w:rsid w:val="07C45E58"/>
    <w:rsid w:val="07C866D4"/>
    <w:rsid w:val="07CB721E"/>
    <w:rsid w:val="07D01F94"/>
    <w:rsid w:val="07DA2862"/>
    <w:rsid w:val="07DB48D6"/>
    <w:rsid w:val="07DF1CE6"/>
    <w:rsid w:val="07E02C88"/>
    <w:rsid w:val="07E955A7"/>
    <w:rsid w:val="07EA0C83"/>
    <w:rsid w:val="08074D0D"/>
    <w:rsid w:val="0808579C"/>
    <w:rsid w:val="080A1514"/>
    <w:rsid w:val="0810442A"/>
    <w:rsid w:val="08105233"/>
    <w:rsid w:val="08142A56"/>
    <w:rsid w:val="08166140"/>
    <w:rsid w:val="08210E53"/>
    <w:rsid w:val="08240F81"/>
    <w:rsid w:val="0830705B"/>
    <w:rsid w:val="08422D68"/>
    <w:rsid w:val="08433841"/>
    <w:rsid w:val="0849464E"/>
    <w:rsid w:val="0854453D"/>
    <w:rsid w:val="085D72AC"/>
    <w:rsid w:val="0867391C"/>
    <w:rsid w:val="08756829"/>
    <w:rsid w:val="08875C01"/>
    <w:rsid w:val="089332B7"/>
    <w:rsid w:val="08956A67"/>
    <w:rsid w:val="08981ACC"/>
    <w:rsid w:val="089939CC"/>
    <w:rsid w:val="089C77D6"/>
    <w:rsid w:val="089E4BB8"/>
    <w:rsid w:val="08A259C7"/>
    <w:rsid w:val="08AE544C"/>
    <w:rsid w:val="08AF6615"/>
    <w:rsid w:val="08B21EE6"/>
    <w:rsid w:val="08B62FD9"/>
    <w:rsid w:val="08B82D1E"/>
    <w:rsid w:val="08C0337B"/>
    <w:rsid w:val="08C7261C"/>
    <w:rsid w:val="08D10529"/>
    <w:rsid w:val="08D95D32"/>
    <w:rsid w:val="08DD09D6"/>
    <w:rsid w:val="08EB3D0C"/>
    <w:rsid w:val="08F67A10"/>
    <w:rsid w:val="08FD204C"/>
    <w:rsid w:val="090359BD"/>
    <w:rsid w:val="091F459D"/>
    <w:rsid w:val="092217DD"/>
    <w:rsid w:val="09252A8B"/>
    <w:rsid w:val="092A4BCE"/>
    <w:rsid w:val="093A1985"/>
    <w:rsid w:val="093A3733"/>
    <w:rsid w:val="093A7294"/>
    <w:rsid w:val="0944361C"/>
    <w:rsid w:val="0953298B"/>
    <w:rsid w:val="09543CF1"/>
    <w:rsid w:val="09565F9E"/>
    <w:rsid w:val="095A2027"/>
    <w:rsid w:val="09676275"/>
    <w:rsid w:val="098E5DC4"/>
    <w:rsid w:val="099804D7"/>
    <w:rsid w:val="09991599"/>
    <w:rsid w:val="09A623FF"/>
    <w:rsid w:val="09A949D3"/>
    <w:rsid w:val="09A958F5"/>
    <w:rsid w:val="09AB5280"/>
    <w:rsid w:val="09B63FE6"/>
    <w:rsid w:val="09CD45A7"/>
    <w:rsid w:val="09D41BCB"/>
    <w:rsid w:val="09D42968"/>
    <w:rsid w:val="09D51FD6"/>
    <w:rsid w:val="09EA33AB"/>
    <w:rsid w:val="09EC7254"/>
    <w:rsid w:val="09F2400E"/>
    <w:rsid w:val="09F75AC8"/>
    <w:rsid w:val="0A020854"/>
    <w:rsid w:val="0A0A7827"/>
    <w:rsid w:val="0A0C7634"/>
    <w:rsid w:val="0A135EBF"/>
    <w:rsid w:val="0A263993"/>
    <w:rsid w:val="0A2A19F9"/>
    <w:rsid w:val="0A2D3AC2"/>
    <w:rsid w:val="0A2F1883"/>
    <w:rsid w:val="0A2F7DBC"/>
    <w:rsid w:val="0A373B41"/>
    <w:rsid w:val="0A3B5A33"/>
    <w:rsid w:val="0A3B7ABA"/>
    <w:rsid w:val="0A4B49AE"/>
    <w:rsid w:val="0A530F50"/>
    <w:rsid w:val="0A540176"/>
    <w:rsid w:val="0A5A0D59"/>
    <w:rsid w:val="0A705944"/>
    <w:rsid w:val="0A730843"/>
    <w:rsid w:val="0A7C25B1"/>
    <w:rsid w:val="0A805ABD"/>
    <w:rsid w:val="0A8B0941"/>
    <w:rsid w:val="0A8F3D90"/>
    <w:rsid w:val="0A92704E"/>
    <w:rsid w:val="0A9450C5"/>
    <w:rsid w:val="0AA25A50"/>
    <w:rsid w:val="0AA418A2"/>
    <w:rsid w:val="0AA755DF"/>
    <w:rsid w:val="0AAA53A4"/>
    <w:rsid w:val="0AAE0609"/>
    <w:rsid w:val="0AAE54F3"/>
    <w:rsid w:val="0AC2429A"/>
    <w:rsid w:val="0AC308BC"/>
    <w:rsid w:val="0AC60101"/>
    <w:rsid w:val="0AD22909"/>
    <w:rsid w:val="0AE15AD8"/>
    <w:rsid w:val="0AE26CF9"/>
    <w:rsid w:val="0AE41BA8"/>
    <w:rsid w:val="0AF0679F"/>
    <w:rsid w:val="0AF9240E"/>
    <w:rsid w:val="0AFA13CC"/>
    <w:rsid w:val="0B00367B"/>
    <w:rsid w:val="0B021AD3"/>
    <w:rsid w:val="0B024039"/>
    <w:rsid w:val="0B0356B8"/>
    <w:rsid w:val="0B1003B9"/>
    <w:rsid w:val="0B120D44"/>
    <w:rsid w:val="0B135F44"/>
    <w:rsid w:val="0B2C1E4A"/>
    <w:rsid w:val="0B350F77"/>
    <w:rsid w:val="0B376E3D"/>
    <w:rsid w:val="0B382447"/>
    <w:rsid w:val="0B3E063E"/>
    <w:rsid w:val="0B436BBC"/>
    <w:rsid w:val="0B505490"/>
    <w:rsid w:val="0B535B22"/>
    <w:rsid w:val="0B560105"/>
    <w:rsid w:val="0B595469"/>
    <w:rsid w:val="0B6469FB"/>
    <w:rsid w:val="0B786041"/>
    <w:rsid w:val="0B786338"/>
    <w:rsid w:val="0B8020AA"/>
    <w:rsid w:val="0B846868"/>
    <w:rsid w:val="0B8C74CE"/>
    <w:rsid w:val="0B8F175F"/>
    <w:rsid w:val="0B911CDF"/>
    <w:rsid w:val="0B972A20"/>
    <w:rsid w:val="0B9F23EB"/>
    <w:rsid w:val="0BC97CE1"/>
    <w:rsid w:val="0BD12D53"/>
    <w:rsid w:val="0BD1705C"/>
    <w:rsid w:val="0BD27BF6"/>
    <w:rsid w:val="0BD31C1D"/>
    <w:rsid w:val="0BD327A0"/>
    <w:rsid w:val="0BD36D9D"/>
    <w:rsid w:val="0BE5207C"/>
    <w:rsid w:val="0BEA58E4"/>
    <w:rsid w:val="0BF662B3"/>
    <w:rsid w:val="0BFC128C"/>
    <w:rsid w:val="0C0134BE"/>
    <w:rsid w:val="0C0404A5"/>
    <w:rsid w:val="0C067255"/>
    <w:rsid w:val="0C14180A"/>
    <w:rsid w:val="0C190B93"/>
    <w:rsid w:val="0C1E6BC5"/>
    <w:rsid w:val="0C282AF3"/>
    <w:rsid w:val="0C3B3C7D"/>
    <w:rsid w:val="0C3E353A"/>
    <w:rsid w:val="0C465287"/>
    <w:rsid w:val="0C491769"/>
    <w:rsid w:val="0C54104E"/>
    <w:rsid w:val="0C57257A"/>
    <w:rsid w:val="0C5A7780"/>
    <w:rsid w:val="0C6E02C3"/>
    <w:rsid w:val="0C6F6D14"/>
    <w:rsid w:val="0C745C14"/>
    <w:rsid w:val="0C7F5B07"/>
    <w:rsid w:val="0C825B1D"/>
    <w:rsid w:val="0C88394B"/>
    <w:rsid w:val="0C933595"/>
    <w:rsid w:val="0C9C5851"/>
    <w:rsid w:val="0C9E222B"/>
    <w:rsid w:val="0CA5180B"/>
    <w:rsid w:val="0CA76198"/>
    <w:rsid w:val="0CA84FAD"/>
    <w:rsid w:val="0CAB2EAE"/>
    <w:rsid w:val="0CB2251C"/>
    <w:rsid w:val="0CB2672F"/>
    <w:rsid w:val="0CB71D0D"/>
    <w:rsid w:val="0CB76D1B"/>
    <w:rsid w:val="0CC51EAD"/>
    <w:rsid w:val="0CC563FF"/>
    <w:rsid w:val="0CC90ECA"/>
    <w:rsid w:val="0CCB64CB"/>
    <w:rsid w:val="0CD52D7B"/>
    <w:rsid w:val="0CD96386"/>
    <w:rsid w:val="0CDF1DCB"/>
    <w:rsid w:val="0CEF5821"/>
    <w:rsid w:val="0D140E7B"/>
    <w:rsid w:val="0D1B611E"/>
    <w:rsid w:val="0D1B6A49"/>
    <w:rsid w:val="0D1F42EF"/>
    <w:rsid w:val="0D201789"/>
    <w:rsid w:val="0D22266E"/>
    <w:rsid w:val="0D2B7F62"/>
    <w:rsid w:val="0D2E487E"/>
    <w:rsid w:val="0D2F5689"/>
    <w:rsid w:val="0D3F086F"/>
    <w:rsid w:val="0D4314F9"/>
    <w:rsid w:val="0D434B61"/>
    <w:rsid w:val="0D526659"/>
    <w:rsid w:val="0D5B3AA6"/>
    <w:rsid w:val="0D6008B0"/>
    <w:rsid w:val="0D621C7D"/>
    <w:rsid w:val="0D667924"/>
    <w:rsid w:val="0D673077"/>
    <w:rsid w:val="0D6D057B"/>
    <w:rsid w:val="0D701E19"/>
    <w:rsid w:val="0D7116ED"/>
    <w:rsid w:val="0D734B65"/>
    <w:rsid w:val="0D762277"/>
    <w:rsid w:val="0D783916"/>
    <w:rsid w:val="0D7C1AC6"/>
    <w:rsid w:val="0D8453E2"/>
    <w:rsid w:val="0D8631C3"/>
    <w:rsid w:val="0D917A31"/>
    <w:rsid w:val="0D95269D"/>
    <w:rsid w:val="0D9A44D9"/>
    <w:rsid w:val="0D9D3D6A"/>
    <w:rsid w:val="0DA675E9"/>
    <w:rsid w:val="0DA94975"/>
    <w:rsid w:val="0DB22432"/>
    <w:rsid w:val="0DBA3094"/>
    <w:rsid w:val="0DBE6564"/>
    <w:rsid w:val="0DBF5FCF"/>
    <w:rsid w:val="0DC12675"/>
    <w:rsid w:val="0DD97F50"/>
    <w:rsid w:val="0DDC542C"/>
    <w:rsid w:val="0DE00130"/>
    <w:rsid w:val="0DE71030"/>
    <w:rsid w:val="0DED6FC6"/>
    <w:rsid w:val="0DF5761F"/>
    <w:rsid w:val="0E0108A1"/>
    <w:rsid w:val="0E0E2736"/>
    <w:rsid w:val="0E21753F"/>
    <w:rsid w:val="0E2624D8"/>
    <w:rsid w:val="0E27010E"/>
    <w:rsid w:val="0E2844A2"/>
    <w:rsid w:val="0E284730"/>
    <w:rsid w:val="0E2F0FDB"/>
    <w:rsid w:val="0E31222A"/>
    <w:rsid w:val="0E372937"/>
    <w:rsid w:val="0E377530"/>
    <w:rsid w:val="0E40237D"/>
    <w:rsid w:val="0E463C94"/>
    <w:rsid w:val="0E5167E2"/>
    <w:rsid w:val="0E5A1EB7"/>
    <w:rsid w:val="0E611D52"/>
    <w:rsid w:val="0E630E4C"/>
    <w:rsid w:val="0E6F20D1"/>
    <w:rsid w:val="0E73034D"/>
    <w:rsid w:val="0E731B92"/>
    <w:rsid w:val="0E794912"/>
    <w:rsid w:val="0E7C1085"/>
    <w:rsid w:val="0E8846BF"/>
    <w:rsid w:val="0E8D07A9"/>
    <w:rsid w:val="0E941B37"/>
    <w:rsid w:val="0E963B01"/>
    <w:rsid w:val="0E966F2A"/>
    <w:rsid w:val="0E9A1D89"/>
    <w:rsid w:val="0EA93208"/>
    <w:rsid w:val="0EAF1BDB"/>
    <w:rsid w:val="0EBE3F64"/>
    <w:rsid w:val="0EC266A4"/>
    <w:rsid w:val="0EC559EE"/>
    <w:rsid w:val="0EC82A94"/>
    <w:rsid w:val="0EE12788"/>
    <w:rsid w:val="0EE2110B"/>
    <w:rsid w:val="0EE3661B"/>
    <w:rsid w:val="0EF24171"/>
    <w:rsid w:val="0EF905B3"/>
    <w:rsid w:val="0F011FBC"/>
    <w:rsid w:val="0F040A6B"/>
    <w:rsid w:val="0F0E6884"/>
    <w:rsid w:val="0F0F5662"/>
    <w:rsid w:val="0F13775A"/>
    <w:rsid w:val="0F154476"/>
    <w:rsid w:val="0F1F073B"/>
    <w:rsid w:val="0F205E5B"/>
    <w:rsid w:val="0F206B71"/>
    <w:rsid w:val="0F256C33"/>
    <w:rsid w:val="0F3677B3"/>
    <w:rsid w:val="0F380715"/>
    <w:rsid w:val="0F4630F7"/>
    <w:rsid w:val="0F4B6890"/>
    <w:rsid w:val="0F4D7ED2"/>
    <w:rsid w:val="0F517A28"/>
    <w:rsid w:val="0F587009"/>
    <w:rsid w:val="0F5D79F5"/>
    <w:rsid w:val="0F5F45FE"/>
    <w:rsid w:val="0F624273"/>
    <w:rsid w:val="0F65009B"/>
    <w:rsid w:val="0F6A2CA0"/>
    <w:rsid w:val="0F746018"/>
    <w:rsid w:val="0F7A08BB"/>
    <w:rsid w:val="0F852CAD"/>
    <w:rsid w:val="0F8E47D8"/>
    <w:rsid w:val="0F925D53"/>
    <w:rsid w:val="0F9A112B"/>
    <w:rsid w:val="0F9A74F8"/>
    <w:rsid w:val="0F9C5147"/>
    <w:rsid w:val="0F9C677F"/>
    <w:rsid w:val="0FA16971"/>
    <w:rsid w:val="0FAC7C3E"/>
    <w:rsid w:val="0FB436F8"/>
    <w:rsid w:val="0FB51D65"/>
    <w:rsid w:val="0FB828F7"/>
    <w:rsid w:val="0FC62919"/>
    <w:rsid w:val="0FD0094D"/>
    <w:rsid w:val="0FE32FA7"/>
    <w:rsid w:val="0FE62212"/>
    <w:rsid w:val="0FF4571F"/>
    <w:rsid w:val="101F586F"/>
    <w:rsid w:val="10375A67"/>
    <w:rsid w:val="10400ABA"/>
    <w:rsid w:val="10516D39"/>
    <w:rsid w:val="10537F76"/>
    <w:rsid w:val="105F26C6"/>
    <w:rsid w:val="10636B53"/>
    <w:rsid w:val="106D2F64"/>
    <w:rsid w:val="106D7072"/>
    <w:rsid w:val="107A59FC"/>
    <w:rsid w:val="10810677"/>
    <w:rsid w:val="10822796"/>
    <w:rsid w:val="10855BDB"/>
    <w:rsid w:val="108A2BD8"/>
    <w:rsid w:val="108F0808"/>
    <w:rsid w:val="1094165D"/>
    <w:rsid w:val="1095069C"/>
    <w:rsid w:val="109A0FE6"/>
    <w:rsid w:val="109A5CFF"/>
    <w:rsid w:val="109B659F"/>
    <w:rsid w:val="109D0FBE"/>
    <w:rsid w:val="10AD6A3E"/>
    <w:rsid w:val="10B63710"/>
    <w:rsid w:val="10C6609D"/>
    <w:rsid w:val="10CF4759"/>
    <w:rsid w:val="10DE2FBA"/>
    <w:rsid w:val="10DF16D1"/>
    <w:rsid w:val="10E750A3"/>
    <w:rsid w:val="10E87F18"/>
    <w:rsid w:val="10EA0134"/>
    <w:rsid w:val="10EA3C90"/>
    <w:rsid w:val="10F10820"/>
    <w:rsid w:val="10F14CF8"/>
    <w:rsid w:val="10F51F58"/>
    <w:rsid w:val="10F7568C"/>
    <w:rsid w:val="10FB06F4"/>
    <w:rsid w:val="10FF2850"/>
    <w:rsid w:val="110E3E23"/>
    <w:rsid w:val="11175AB1"/>
    <w:rsid w:val="11194576"/>
    <w:rsid w:val="111C2F7A"/>
    <w:rsid w:val="111E0714"/>
    <w:rsid w:val="112A6783"/>
    <w:rsid w:val="112E47A6"/>
    <w:rsid w:val="113E6904"/>
    <w:rsid w:val="114413A6"/>
    <w:rsid w:val="11481AB7"/>
    <w:rsid w:val="11497A4B"/>
    <w:rsid w:val="11516A48"/>
    <w:rsid w:val="1153653C"/>
    <w:rsid w:val="11617EAE"/>
    <w:rsid w:val="11621241"/>
    <w:rsid w:val="116457F1"/>
    <w:rsid w:val="11665CA1"/>
    <w:rsid w:val="116A4DD1"/>
    <w:rsid w:val="117A14B8"/>
    <w:rsid w:val="117A60A5"/>
    <w:rsid w:val="11810D78"/>
    <w:rsid w:val="11867E5D"/>
    <w:rsid w:val="11873146"/>
    <w:rsid w:val="118B498A"/>
    <w:rsid w:val="11972590"/>
    <w:rsid w:val="119E5662"/>
    <w:rsid w:val="119F0095"/>
    <w:rsid w:val="11A85DF5"/>
    <w:rsid w:val="11AE4EC1"/>
    <w:rsid w:val="11B81258"/>
    <w:rsid w:val="11C37A2A"/>
    <w:rsid w:val="11D02E86"/>
    <w:rsid w:val="11DC1FBF"/>
    <w:rsid w:val="11DE0C95"/>
    <w:rsid w:val="11E404E9"/>
    <w:rsid w:val="11E4747D"/>
    <w:rsid w:val="11EA306B"/>
    <w:rsid w:val="11EF28BD"/>
    <w:rsid w:val="11F403A7"/>
    <w:rsid w:val="11FB70BB"/>
    <w:rsid w:val="11FC7361"/>
    <w:rsid w:val="12072620"/>
    <w:rsid w:val="121511E1"/>
    <w:rsid w:val="12155D78"/>
    <w:rsid w:val="121E4F6C"/>
    <w:rsid w:val="12217B86"/>
    <w:rsid w:val="12263BC7"/>
    <w:rsid w:val="122907E8"/>
    <w:rsid w:val="122A4A2A"/>
    <w:rsid w:val="122E5F66"/>
    <w:rsid w:val="123A0660"/>
    <w:rsid w:val="12467893"/>
    <w:rsid w:val="124B4C03"/>
    <w:rsid w:val="124F46F3"/>
    <w:rsid w:val="12534CF4"/>
    <w:rsid w:val="125C3BCA"/>
    <w:rsid w:val="126A6A1E"/>
    <w:rsid w:val="126C19C7"/>
    <w:rsid w:val="1270130E"/>
    <w:rsid w:val="1270579A"/>
    <w:rsid w:val="12745F08"/>
    <w:rsid w:val="12837690"/>
    <w:rsid w:val="12854043"/>
    <w:rsid w:val="12882B8B"/>
    <w:rsid w:val="128A6267"/>
    <w:rsid w:val="12971BF6"/>
    <w:rsid w:val="129A5E69"/>
    <w:rsid w:val="12AA2555"/>
    <w:rsid w:val="12AC7A8F"/>
    <w:rsid w:val="12B941B2"/>
    <w:rsid w:val="12C15B84"/>
    <w:rsid w:val="12C25844"/>
    <w:rsid w:val="12C86253"/>
    <w:rsid w:val="12CF7AD7"/>
    <w:rsid w:val="12D1335A"/>
    <w:rsid w:val="12D56286"/>
    <w:rsid w:val="12E53BD3"/>
    <w:rsid w:val="12F06B1F"/>
    <w:rsid w:val="12F6691D"/>
    <w:rsid w:val="12F8516E"/>
    <w:rsid w:val="12F9765D"/>
    <w:rsid w:val="12FA0916"/>
    <w:rsid w:val="13113576"/>
    <w:rsid w:val="13120CCA"/>
    <w:rsid w:val="13166FBF"/>
    <w:rsid w:val="13182CDE"/>
    <w:rsid w:val="131A740E"/>
    <w:rsid w:val="131B4BF7"/>
    <w:rsid w:val="132316DC"/>
    <w:rsid w:val="13387B31"/>
    <w:rsid w:val="134A310C"/>
    <w:rsid w:val="134D33C3"/>
    <w:rsid w:val="134E25DC"/>
    <w:rsid w:val="135C457B"/>
    <w:rsid w:val="13652EC9"/>
    <w:rsid w:val="13686BB2"/>
    <w:rsid w:val="137F2EAF"/>
    <w:rsid w:val="138B6A05"/>
    <w:rsid w:val="139323BD"/>
    <w:rsid w:val="13951726"/>
    <w:rsid w:val="139570AE"/>
    <w:rsid w:val="139F6FB4"/>
    <w:rsid w:val="13B209FA"/>
    <w:rsid w:val="13B660AC"/>
    <w:rsid w:val="13B72C0E"/>
    <w:rsid w:val="13B77DEE"/>
    <w:rsid w:val="13C633DF"/>
    <w:rsid w:val="13CB1DA5"/>
    <w:rsid w:val="13CB24C8"/>
    <w:rsid w:val="13D536C7"/>
    <w:rsid w:val="13E1581F"/>
    <w:rsid w:val="13E769FC"/>
    <w:rsid w:val="13ED5BD0"/>
    <w:rsid w:val="13F27A18"/>
    <w:rsid w:val="13F517A8"/>
    <w:rsid w:val="13F55D54"/>
    <w:rsid w:val="140B0EDB"/>
    <w:rsid w:val="140D6614"/>
    <w:rsid w:val="140F5A56"/>
    <w:rsid w:val="141259D8"/>
    <w:rsid w:val="14205B3A"/>
    <w:rsid w:val="14215B58"/>
    <w:rsid w:val="14264D37"/>
    <w:rsid w:val="14396509"/>
    <w:rsid w:val="14402941"/>
    <w:rsid w:val="14593607"/>
    <w:rsid w:val="1460186C"/>
    <w:rsid w:val="14670B05"/>
    <w:rsid w:val="1485565D"/>
    <w:rsid w:val="148A7C64"/>
    <w:rsid w:val="148E0471"/>
    <w:rsid w:val="14902DA1"/>
    <w:rsid w:val="14911AED"/>
    <w:rsid w:val="14936634"/>
    <w:rsid w:val="14976177"/>
    <w:rsid w:val="149A167D"/>
    <w:rsid w:val="14A01236"/>
    <w:rsid w:val="14A27033"/>
    <w:rsid w:val="14A437F6"/>
    <w:rsid w:val="14B051F1"/>
    <w:rsid w:val="14B34735"/>
    <w:rsid w:val="14B5257B"/>
    <w:rsid w:val="14B913BB"/>
    <w:rsid w:val="14C111AC"/>
    <w:rsid w:val="14C27C86"/>
    <w:rsid w:val="14D40EDF"/>
    <w:rsid w:val="14DA7EC3"/>
    <w:rsid w:val="14DD2C3C"/>
    <w:rsid w:val="14F0093A"/>
    <w:rsid w:val="14F072EE"/>
    <w:rsid w:val="14F1592D"/>
    <w:rsid w:val="14FC2074"/>
    <w:rsid w:val="14FE799B"/>
    <w:rsid w:val="14FF2ADF"/>
    <w:rsid w:val="150115A9"/>
    <w:rsid w:val="15016DFA"/>
    <w:rsid w:val="15060B34"/>
    <w:rsid w:val="150A7884"/>
    <w:rsid w:val="151007E4"/>
    <w:rsid w:val="1528142D"/>
    <w:rsid w:val="153160BC"/>
    <w:rsid w:val="153674A4"/>
    <w:rsid w:val="15412176"/>
    <w:rsid w:val="154F725B"/>
    <w:rsid w:val="155C2C83"/>
    <w:rsid w:val="15633AA0"/>
    <w:rsid w:val="156B2D02"/>
    <w:rsid w:val="156C3F3A"/>
    <w:rsid w:val="15740775"/>
    <w:rsid w:val="157971A2"/>
    <w:rsid w:val="158741A4"/>
    <w:rsid w:val="159563AF"/>
    <w:rsid w:val="15A42450"/>
    <w:rsid w:val="15A4332B"/>
    <w:rsid w:val="15AC59B8"/>
    <w:rsid w:val="15B81923"/>
    <w:rsid w:val="15B900D5"/>
    <w:rsid w:val="15C12E97"/>
    <w:rsid w:val="15C1310D"/>
    <w:rsid w:val="15C90318"/>
    <w:rsid w:val="15D46518"/>
    <w:rsid w:val="15E546B1"/>
    <w:rsid w:val="15E92208"/>
    <w:rsid w:val="15F20A2E"/>
    <w:rsid w:val="15F9513B"/>
    <w:rsid w:val="16063DF9"/>
    <w:rsid w:val="160718A2"/>
    <w:rsid w:val="16087E1D"/>
    <w:rsid w:val="1616083B"/>
    <w:rsid w:val="16162387"/>
    <w:rsid w:val="161D1B33"/>
    <w:rsid w:val="161F3B55"/>
    <w:rsid w:val="16201F02"/>
    <w:rsid w:val="1622651F"/>
    <w:rsid w:val="16233D1A"/>
    <w:rsid w:val="162639BD"/>
    <w:rsid w:val="162D057A"/>
    <w:rsid w:val="16306C0D"/>
    <w:rsid w:val="16330B77"/>
    <w:rsid w:val="163F05DA"/>
    <w:rsid w:val="16426341"/>
    <w:rsid w:val="16430218"/>
    <w:rsid w:val="164A4AB6"/>
    <w:rsid w:val="164E081E"/>
    <w:rsid w:val="165C096A"/>
    <w:rsid w:val="16640041"/>
    <w:rsid w:val="16687574"/>
    <w:rsid w:val="166E0EC0"/>
    <w:rsid w:val="16862048"/>
    <w:rsid w:val="16965054"/>
    <w:rsid w:val="16983182"/>
    <w:rsid w:val="16AC35CF"/>
    <w:rsid w:val="16AE2446"/>
    <w:rsid w:val="16BB7B37"/>
    <w:rsid w:val="16BE121A"/>
    <w:rsid w:val="16C02AFB"/>
    <w:rsid w:val="16C24738"/>
    <w:rsid w:val="16CB6102"/>
    <w:rsid w:val="16CD746B"/>
    <w:rsid w:val="16DD1C2F"/>
    <w:rsid w:val="16E55626"/>
    <w:rsid w:val="16E84309"/>
    <w:rsid w:val="16EB44E9"/>
    <w:rsid w:val="16F53C40"/>
    <w:rsid w:val="16FD7C96"/>
    <w:rsid w:val="16FE7FF8"/>
    <w:rsid w:val="170E1562"/>
    <w:rsid w:val="171364C4"/>
    <w:rsid w:val="1727689D"/>
    <w:rsid w:val="17283764"/>
    <w:rsid w:val="17300B2F"/>
    <w:rsid w:val="17320E8B"/>
    <w:rsid w:val="174D6D27"/>
    <w:rsid w:val="1760399A"/>
    <w:rsid w:val="176A2FB3"/>
    <w:rsid w:val="176C6804"/>
    <w:rsid w:val="17701D14"/>
    <w:rsid w:val="17735226"/>
    <w:rsid w:val="17784B79"/>
    <w:rsid w:val="17794C37"/>
    <w:rsid w:val="177D02A2"/>
    <w:rsid w:val="17800EAB"/>
    <w:rsid w:val="17877305"/>
    <w:rsid w:val="17936292"/>
    <w:rsid w:val="17946124"/>
    <w:rsid w:val="17985CAB"/>
    <w:rsid w:val="179E6C42"/>
    <w:rsid w:val="179F644E"/>
    <w:rsid w:val="17A4103D"/>
    <w:rsid w:val="17AB565A"/>
    <w:rsid w:val="17B84D13"/>
    <w:rsid w:val="17C40218"/>
    <w:rsid w:val="17C459F5"/>
    <w:rsid w:val="17C85F62"/>
    <w:rsid w:val="17D911A8"/>
    <w:rsid w:val="17EF4330"/>
    <w:rsid w:val="18076E60"/>
    <w:rsid w:val="18086701"/>
    <w:rsid w:val="180B7813"/>
    <w:rsid w:val="18133ACD"/>
    <w:rsid w:val="18196797"/>
    <w:rsid w:val="181E6B94"/>
    <w:rsid w:val="182E098C"/>
    <w:rsid w:val="183462BB"/>
    <w:rsid w:val="183B1275"/>
    <w:rsid w:val="183F7A59"/>
    <w:rsid w:val="18407292"/>
    <w:rsid w:val="184C3483"/>
    <w:rsid w:val="18513948"/>
    <w:rsid w:val="185262D1"/>
    <w:rsid w:val="18565FB7"/>
    <w:rsid w:val="185F4F64"/>
    <w:rsid w:val="18634E7C"/>
    <w:rsid w:val="18696EF9"/>
    <w:rsid w:val="186F21DD"/>
    <w:rsid w:val="187F3CFE"/>
    <w:rsid w:val="18920E67"/>
    <w:rsid w:val="189448AE"/>
    <w:rsid w:val="189955EC"/>
    <w:rsid w:val="189F624C"/>
    <w:rsid w:val="189F7A56"/>
    <w:rsid w:val="18AE37F5"/>
    <w:rsid w:val="18BD4C15"/>
    <w:rsid w:val="18C4213C"/>
    <w:rsid w:val="18D85EAF"/>
    <w:rsid w:val="18E12F28"/>
    <w:rsid w:val="18E5190D"/>
    <w:rsid w:val="18EB2C9C"/>
    <w:rsid w:val="18F25E08"/>
    <w:rsid w:val="18F51C04"/>
    <w:rsid w:val="18FF04F5"/>
    <w:rsid w:val="19035620"/>
    <w:rsid w:val="19064FA1"/>
    <w:rsid w:val="190F0CCA"/>
    <w:rsid w:val="191A1728"/>
    <w:rsid w:val="191A70DD"/>
    <w:rsid w:val="191C4C03"/>
    <w:rsid w:val="19263462"/>
    <w:rsid w:val="1929518C"/>
    <w:rsid w:val="192D4F93"/>
    <w:rsid w:val="192F6893"/>
    <w:rsid w:val="192F6C74"/>
    <w:rsid w:val="19327E7A"/>
    <w:rsid w:val="194502F0"/>
    <w:rsid w:val="19481E94"/>
    <w:rsid w:val="194D74B2"/>
    <w:rsid w:val="195719B8"/>
    <w:rsid w:val="195D0B1C"/>
    <w:rsid w:val="19667E0B"/>
    <w:rsid w:val="19703579"/>
    <w:rsid w:val="19710560"/>
    <w:rsid w:val="198F0245"/>
    <w:rsid w:val="198F6B4E"/>
    <w:rsid w:val="199F6C5D"/>
    <w:rsid w:val="19A11466"/>
    <w:rsid w:val="19A8293B"/>
    <w:rsid w:val="19B31E7B"/>
    <w:rsid w:val="19B6580C"/>
    <w:rsid w:val="19C06F15"/>
    <w:rsid w:val="19CB0530"/>
    <w:rsid w:val="19CC6629"/>
    <w:rsid w:val="19D03C08"/>
    <w:rsid w:val="19D21766"/>
    <w:rsid w:val="19D81B9C"/>
    <w:rsid w:val="19DA4B8F"/>
    <w:rsid w:val="19E20F1C"/>
    <w:rsid w:val="19ED7795"/>
    <w:rsid w:val="19F45B80"/>
    <w:rsid w:val="19F94F44"/>
    <w:rsid w:val="1A097E2B"/>
    <w:rsid w:val="1A1C66C0"/>
    <w:rsid w:val="1A2137A3"/>
    <w:rsid w:val="1A293A7B"/>
    <w:rsid w:val="1A2C20D4"/>
    <w:rsid w:val="1A333151"/>
    <w:rsid w:val="1A3B7B55"/>
    <w:rsid w:val="1A42393B"/>
    <w:rsid w:val="1A495D57"/>
    <w:rsid w:val="1A596AA3"/>
    <w:rsid w:val="1A5D7319"/>
    <w:rsid w:val="1A5E3A7B"/>
    <w:rsid w:val="1A6C11DE"/>
    <w:rsid w:val="1A6D6144"/>
    <w:rsid w:val="1A705206"/>
    <w:rsid w:val="1A7B2E13"/>
    <w:rsid w:val="1A8A52DD"/>
    <w:rsid w:val="1A8B6D74"/>
    <w:rsid w:val="1A95331B"/>
    <w:rsid w:val="1A967706"/>
    <w:rsid w:val="1AAD45DE"/>
    <w:rsid w:val="1AAE5D2F"/>
    <w:rsid w:val="1AB24154"/>
    <w:rsid w:val="1AB71087"/>
    <w:rsid w:val="1ABD4860"/>
    <w:rsid w:val="1AD255D3"/>
    <w:rsid w:val="1AE1581E"/>
    <w:rsid w:val="1AED18C1"/>
    <w:rsid w:val="1AF3652D"/>
    <w:rsid w:val="1AFD45D9"/>
    <w:rsid w:val="1AFE61EB"/>
    <w:rsid w:val="1B006003"/>
    <w:rsid w:val="1B0275AA"/>
    <w:rsid w:val="1B042DED"/>
    <w:rsid w:val="1B046F80"/>
    <w:rsid w:val="1B05617C"/>
    <w:rsid w:val="1B060D2D"/>
    <w:rsid w:val="1B0E6551"/>
    <w:rsid w:val="1B187665"/>
    <w:rsid w:val="1B196E03"/>
    <w:rsid w:val="1B2507FE"/>
    <w:rsid w:val="1B2C0455"/>
    <w:rsid w:val="1B310862"/>
    <w:rsid w:val="1B3267B5"/>
    <w:rsid w:val="1B3C1637"/>
    <w:rsid w:val="1B3E3CE5"/>
    <w:rsid w:val="1B40161D"/>
    <w:rsid w:val="1B441859"/>
    <w:rsid w:val="1B46240B"/>
    <w:rsid w:val="1B487199"/>
    <w:rsid w:val="1B494C5A"/>
    <w:rsid w:val="1B4A4967"/>
    <w:rsid w:val="1B4E306E"/>
    <w:rsid w:val="1B551101"/>
    <w:rsid w:val="1B5C734B"/>
    <w:rsid w:val="1B5F63DF"/>
    <w:rsid w:val="1B654759"/>
    <w:rsid w:val="1B6606B1"/>
    <w:rsid w:val="1B706906"/>
    <w:rsid w:val="1B7B3958"/>
    <w:rsid w:val="1B851185"/>
    <w:rsid w:val="1B8824B4"/>
    <w:rsid w:val="1B8C739F"/>
    <w:rsid w:val="1B8F16C3"/>
    <w:rsid w:val="1B912366"/>
    <w:rsid w:val="1BA05C50"/>
    <w:rsid w:val="1BA06418"/>
    <w:rsid w:val="1BA15893"/>
    <w:rsid w:val="1BA95FA6"/>
    <w:rsid w:val="1BB33CF1"/>
    <w:rsid w:val="1BC3580A"/>
    <w:rsid w:val="1BCE0FB1"/>
    <w:rsid w:val="1BD55903"/>
    <w:rsid w:val="1BD90FA2"/>
    <w:rsid w:val="1BDC7088"/>
    <w:rsid w:val="1BDF33EF"/>
    <w:rsid w:val="1BE56875"/>
    <w:rsid w:val="1BED5FE7"/>
    <w:rsid w:val="1BF20798"/>
    <w:rsid w:val="1BF9269F"/>
    <w:rsid w:val="1C044CA2"/>
    <w:rsid w:val="1C09169D"/>
    <w:rsid w:val="1C0A41BC"/>
    <w:rsid w:val="1C112A19"/>
    <w:rsid w:val="1C112CBC"/>
    <w:rsid w:val="1C1C54A7"/>
    <w:rsid w:val="1C1D340B"/>
    <w:rsid w:val="1C201ACE"/>
    <w:rsid w:val="1C2923A1"/>
    <w:rsid w:val="1C3006B2"/>
    <w:rsid w:val="1C370EFB"/>
    <w:rsid w:val="1C4B1A3B"/>
    <w:rsid w:val="1C4B5294"/>
    <w:rsid w:val="1C5915AF"/>
    <w:rsid w:val="1C5E7925"/>
    <w:rsid w:val="1C670077"/>
    <w:rsid w:val="1C695DD5"/>
    <w:rsid w:val="1C6A0E74"/>
    <w:rsid w:val="1C720BAD"/>
    <w:rsid w:val="1C795062"/>
    <w:rsid w:val="1C797C76"/>
    <w:rsid w:val="1C7A1785"/>
    <w:rsid w:val="1C7C6C05"/>
    <w:rsid w:val="1C81118E"/>
    <w:rsid w:val="1C9261C9"/>
    <w:rsid w:val="1C957BD2"/>
    <w:rsid w:val="1CA64C69"/>
    <w:rsid w:val="1CA802D5"/>
    <w:rsid w:val="1CA83BC9"/>
    <w:rsid w:val="1CB2101A"/>
    <w:rsid w:val="1CB30583"/>
    <w:rsid w:val="1CB87339"/>
    <w:rsid w:val="1CBB3A63"/>
    <w:rsid w:val="1CC17F9B"/>
    <w:rsid w:val="1CC83CE7"/>
    <w:rsid w:val="1CC950A2"/>
    <w:rsid w:val="1CD37CCF"/>
    <w:rsid w:val="1CDE2D98"/>
    <w:rsid w:val="1CE9249E"/>
    <w:rsid w:val="1CEC2963"/>
    <w:rsid w:val="1CFA16FF"/>
    <w:rsid w:val="1CFC7225"/>
    <w:rsid w:val="1CFD070F"/>
    <w:rsid w:val="1D01483C"/>
    <w:rsid w:val="1D0244F2"/>
    <w:rsid w:val="1D036806"/>
    <w:rsid w:val="1D05292C"/>
    <w:rsid w:val="1D121BAB"/>
    <w:rsid w:val="1D1505E1"/>
    <w:rsid w:val="1D272836"/>
    <w:rsid w:val="1D283697"/>
    <w:rsid w:val="1D402544"/>
    <w:rsid w:val="1D4159E7"/>
    <w:rsid w:val="1D4A4435"/>
    <w:rsid w:val="1D4C123D"/>
    <w:rsid w:val="1D4F1A4B"/>
    <w:rsid w:val="1D590E2F"/>
    <w:rsid w:val="1D5F6196"/>
    <w:rsid w:val="1D6132A5"/>
    <w:rsid w:val="1D653ADB"/>
    <w:rsid w:val="1D6A5B95"/>
    <w:rsid w:val="1D6F5CDC"/>
    <w:rsid w:val="1D801CD3"/>
    <w:rsid w:val="1D87428D"/>
    <w:rsid w:val="1D87465A"/>
    <w:rsid w:val="1D877189"/>
    <w:rsid w:val="1D8951BB"/>
    <w:rsid w:val="1D8B4785"/>
    <w:rsid w:val="1D8E56D5"/>
    <w:rsid w:val="1D977FD2"/>
    <w:rsid w:val="1D994A74"/>
    <w:rsid w:val="1D9A10A8"/>
    <w:rsid w:val="1D9B7421"/>
    <w:rsid w:val="1DA5166B"/>
    <w:rsid w:val="1DA578BD"/>
    <w:rsid w:val="1DAD49C3"/>
    <w:rsid w:val="1DAF4F34"/>
    <w:rsid w:val="1DB15293"/>
    <w:rsid w:val="1DB20951"/>
    <w:rsid w:val="1DBB0E8E"/>
    <w:rsid w:val="1DC859B4"/>
    <w:rsid w:val="1DCD7CC5"/>
    <w:rsid w:val="1DCE54CB"/>
    <w:rsid w:val="1DE83E0A"/>
    <w:rsid w:val="1DEA68A2"/>
    <w:rsid w:val="1DFD6CE0"/>
    <w:rsid w:val="1E1176E2"/>
    <w:rsid w:val="1E1433F4"/>
    <w:rsid w:val="1E1C3BA2"/>
    <w:rsid w:val="1E371F2A"/>
    <w:rsid w:val="1E443A4A"/>
    <w:rsid w:val="1E48199B"/>
    <w:rsid w:val="1E490108"/>
    <w:rsid w:val="1E4C1E34"/>
    <w:rsid w:val="1E4D1C4F"/>
    <w:rsid w:val="1E5774BF"/>
    <w:rsid w:val="1E5F56C5"/>
    <w:rsid w:val="1E6C1E42"/>
    <w:rsid w:val="1E787BAD"/>
    <w:rsid w:val="1E7A43DA"/>
    <w:rsid w:val="1E7D6144"/>
    <w:rsid w:val="1E7E2C1A"/>
    <w:rsid w:val="1E8A1D04"/>
    <w:rsid w:val="1E8C6387"/>
    <w:rsid w:val="1E956402"/>
    <w:rsid w:val="1EA80D7C"/>
    <w:rsid w:val="1EA95790"/>
    <w:rsid w:val="1EA95E33"/>
    <w:rsid w:val="1EAD2BDE"/>
    <w:rsid w:val="1EAF7ECF"/>
    <w:rsid w:val="1EB22DF9"/>
    <w:rsid w:val="1EB46229"/>
    <w:rsid w:val="1EBC3EC2"/>
    <w:rsid w:val="1EC25384"/>
    <w:rsid w:val="1ECE699F"/>
    <w:rsid w:val="1ED56D8B"/>
    <w:rsid w:val="1EDB2C12"/>
    <w:rsid w:val="1EE60C15"/>
    <w:rsid w:val="1EEE375B"/>
    <w:rsid w:val="1EFA3CC7"/>
    <w:rsid w:val="1EFE7107"/>
    <w:rsid w:val="1F033F62"/>
    <w:rsid w:val="1F0E31A7"/>
    <w:rsid w:val="1F137E41"/>
    <w:rsid w:val="1F25129A"/>
    <w:rsid w:val="1F2F6D4B"/>
    <w:rsid w:val="1F3025CC"/>
    <w:rsid w:val="1F3F5956"/>
    <w:rsid w:val="1F4153C3"/>
    <w:rsid w:val="1F435E7F"/>
    <w:rsid w:val="1F4B4494"/>
    <w:rsid w:val="1F4D70DD"/>
    <w:rsid w:val="1F5239A0"/>
    <w:rsid w:val="1F5F4158"/>
    <w:rsid w:val="1F681E00"/>
    <w:rsid w:val="1F6D1B8B"/>
    <w:rsid w:val="1F6D7F66"/>
    <w:rsid w:val="1F735FF4"/>
    <w:rsid w:val="1F7511DD"/>
    <w:rsid w:val="1F7C533C"/>
    <w:rsid w:val="1F8017FA"/>
    <w:rsid w:val="1F872B36"/>
    <w:rsid w:val="1F9621BF"/>
    <w:rsid w:val="1F9931D6"/>
    <w:rsid w:val="1F9D7154"/>
    <w:rsid w:val="1F9F4086"/>
    <w:rsid w:val="1FA0658E"/>
    <w:rsid w:val="1FA14368"/>
    <w:rsid w:val="1FA547B5"/>
    <w:rsid w:val="1FAD436A"/>
    <w:rsid w:val="1FAE2DC8"/>
    <w:rsid w:val="1FAE72CB"/>
    <w:rsid w:val="1FB43DE5"/>
    <w:rsid w:val="1FB74341"/>
    <w:rsid w:val="1FBE41B7"/>
    <w:rsid w:val="1FBF0947"/>
    <w:rsid w:val="1FCE4691"/>
    <w:rsid w:val="1FE20AC7"/>
    <w:rsid w:val="1FE403F5"/>
    <w:rsid w:val="1FE52E27"/>
    <w:rsid w:val="1FE7539E"/>
    <w:rsid w:val="20120B0E"/>
    <w:rsid w:val="20157240"/>
    <w:rsid w:val="201E7898"/>
    <w:rsid w:val="20283AB0"/>
    <w:rsid w:val="202A45B6"/>
    <w:rsid w:val="202A62C1"/>
    <w:rsid w:val="20344F28"/>
    <w:rsid w:val="20371819"/>
    <w:rsid w:val="203850BF"/>
    <w:rsid w:val="203C5B8B"/>
    <w:rsid w:val="204038CD"/>
    <w:rsid w:val="204809D3"/>
    <w:rsid w:val="20491033"/>
    <w:rsid w:val="204A64FA"/>
    <w:rsid w:val="20586997"/>
    <w:rsid w:val="205F0CB6"/>
    <w:rsid w:val="20671BE0"/>
    <w:rsid w:val="20682A42"/>
    <w:rsid w:val="207543D7"/>
    <w:rsid w:val="20765541"/>
    <w:rsid w:val="20805E12"/>
    <w:rsid w:val="20832010"/>
    <w:rsid w:val="20842377"/>
    <w:rsid w:val="208607FF"/>
    <w:rsid w:val="20907178"/>
    <w:rsid w:val="20963CB8"/>
    <w:rsid w:val="209F3A92"/>
    <w:rsid w:val="20A2474D"/>
    <w:rsid w:val="20A81A1B"/>
    <w:rsid w:val="20AA3BE2"/>
    <w:rsid w:val="20B07FB6"/>
    <w:rsid w:val="20B646FB"/>
    <w:rsid w:val="20B9542D"/>
    <w:rsid w:val="20C261E8"/>
    <w:rsid w:val="20C81264"/>
    <w:rsid w:val="20CF395A"/>
    <w:rsid w:val="20DB1338"/>
    <w:rsid w:val="20DE382B"/>
    <w:rsid w:val="20EC1BD6"/>
    <w:rsid w:val="20F04E4F"/>
    <w:rsid w:val="20F26915"/>
    <w:rsid w:val="20F35920"/>
    <w:rsid w:val="20FB4F21"/>
    <w:rsid w:val="20FF11F7"/>
    <w:rsid w:val="21061F6E"/>
    <w:rsid w:val="210668C5"/>
    <w:rsid w:val="21091F11"/>
    <w:rsid w:val="210B3C83"/>
    <w:rsid w:val="210C62C7"/>
    <w:rsid w:val="21121243"/>
    <w:rsid w:val="21130051"/>
    <w:rsid w:val="211371AC"/>
    <w:rsid w:val="2120283D"/>
    <w:rsid w:val="21324490"/>
    <w:rsid w:val="213B74B1"/>
    <w:rsid w:val="21466CC1"/>
    <w:rsid w:val="21484295"/>
    <w:rsid w:val="215879D6"/>
    <w:rsid w:val="215A2310"/>
    <w:rsid w:val="21611BAA"/>
    <w:rsid w:val="21676C37"/>
    <w:rsid w:val="216D3EE0"/>
    <w:rsid w:val="216D6F4E"/>
    <w:rsid w:val="2174218D"/>
    <w:rsid w:val="21747CD2"/>
    <w:rsid w:val="217B6521"/>
    <w:rsid w:val="217D4A3D"/>
    <w:rsid w:val="21833E97"/>
    <w:rsid w:val="218431BF"/>
    <w:rsid w:val="218D0AFE"/>
    <w:rsid w:val="219519F6"/>
    <w:rsid w:val="219763DE"/>
    <w:rsid w:val="21997F02"/>
    <w:rsid w:val="219E0760"/>
    <w:rsid w:val="21A76F01"/>
    <w:rsid w:val="21AA497D"/>
    <w:rsid w:val="21AE634D"/>
    <w:rsid w:val="21B1064D"/>
    <w:rsid w:val="21BB450C"/>
    <w:rsid w:val="21C90620"/>
    <w:rsid w:val="21C93D0E"/>
    <w:rsid w:val="21CC0D55"/>
    <w:rsid w:val="21CC6BDA"/>
    <w:rsid w:val="21CE7EC2"/>
    <w:rsid w:val="21D405E5"/>
    <w:rsid w:val="21DE318A"/>
    <w:rsid w:val="21DE339D"/>
    <w:rsid w:val="21DE38D8"/>
    <w:rsid w:val="21E13EF0"/>
    <w:rsid w:val="21E525B4"/>
    <w:rsid w:val="21E76AE2"/>
    <w:rsid w:val="21ED7FE1"/>
    <w:rsid w:val="21EF5B80"/>
    <w:rsid w:val="21F030D1"/>
    <w:rsid w:val="21F97868"/>
    <w:rsid w:val="2208041A"/>
    <w:rsid w:val="2210791D"/>
    <w:rsid w:val="22134A41"/>
    <w:rsid w:val="221527F1"/>
    <w:rsid w:val="222E0F5E"/>
    <w:rsid w:val="22361713"/>
    <w:rsid w:val="22406FF4"/>
    <w:rsid w:val="224306AD"/>
    <w:rsid w:val="22433200"/>
    <w:rsid w:val="224A3B8E"/>
    <w:rsid w:val="22513B6F"/>
    <w:rsid w:val="22523641"/>
    <w:rsid w:val="22553660"/>
    <w:rsid w:val="22576990"/>
    <w:rsid w:val="225B2C40"/>
    <w:rsid w:val="225C5828"/>
    <w:rsid w:val="225D4CD3"/>
    <w:rsid w:val="225E1E28"/>
    <w:rsid w:val="22730621"/>
    <w:rsid w:val="227626A9"/>
    <w:rsid w:val="228239EC"/>
    <w:rsid w:val="22833F45"/>
    <w:rsid w:val="22883C66"/>
    <w:rsid w:val="228E7CD2"/>
    <w:rsid w:val="229B3545"/>
    <w:rsid w:val="229C7C5A"/>
    <w:rsid w:val="22A376D6"/>
    <w:rsid w:val="22AA1077"/>
    <w:rsid w:val="22C97BDA"/>
    <w:rsid w:val="22CE5255"/>
    <w:rsid w:val="22DB5B2F"/>
    <w:rsid w:val="22DF561F"/>
    <w:rsid w:val="22E128BC"/>
    <w:rsid w:val="22E94073"/>
    <w:rsid w:val="22E94655"/>
    <w:rsid w:val="22EC1AEA"/>
    <w:rsid w:val="22F33099"/>
    <w:rsid w:val="22F47480"/>
    <w:rsid w:val="22FB7A8C"/>
    <w:rsid w:val="2302010D"/>
    <w:rsid w:val="230250BF"/>
    <w:rsid w:val="23067FEC"/>
    <w:rsid w:val="2311283C"/>
    <w:rsid w:val="231F29EB"/>
    <w:rsid w:val="23290648"/>
    <w:rsid w:val="233269F8"/>
    <w:rsid w:val="23530803"/>
    <w:rsid w:val="235E6B2E"/>
    <w:rsid w:val="236525B3"/>
    <w:rsid w:val="2365559E"/>
    <w:rsid w:val="236E69A3"/>
    <w:rsid w:val="2371314F"/>
    <w:rsid w:val="23732CED"/>
    <w:rsid w:val="23742A69"/>
    <w:rsid w:val="237957F1"/>
    <w:rsid w:val="237C3D15"/>
    <w:rsid w:val="238E3DE5"/>
    <w:rsid w:val="239301B8"/>
    <w:rsid w:val="239643E5"/>
    <w:rsid w:val="239667F5"/>
    <w:rsid w:val="23A62D44"/>
    <w:rsid w:val="23B85777"/>
    <w:rsid w:val="23BC7DB2"/>
    <w:rsid w:val="23BD6BA2"/>
    <w:rsid w:val="23C10881"/>
    <w:rsid w:val="23D06644"/>
    <w:rsid w:val="23D52EDD"/>
    <w:rsid w:val="23D7326F"/>
    <w:rsid w:val="23D9667E"/>
    <w:rsid w:val="23DE1C48"/>
    <w:rsid w:val="23E10F23"/>
    <w:rsid w:val="23E17321"/>
    <w:rsid w:val="23E867C5"/>
    <w:rsid w:val="23E92021"/>
    <w:rsid w:val="23F23130"/>
    <w:rsid w:val="23F87758"/>
    <w:rsid w:val="2400231A"/>
    <w:rsid w:val="240210CD"/>
    <w:rsid w:val="24093458"/>
    <w:rsid w:val="240C1773"/>
    <w:rsid w:val="240E0025"/>
    <w:rsid w:val="240E204B"/>
    <w:rsid w:val="24116754"/>
    <w:rsid w:val="24194B61"/>
    <w:rsid w:val="241C1F5B"/>
    <w:rsid w:val="243514AB"/>
    <w:rsid w:val="244116E8"/>
    <w:rsid w:val="24423A84"/>
    <w:rsid w:val="24646D1D"/>
    <w:rsid w:val="24681644"/>
    <w:rsid w:val="247047B3"/>
    <w:rsid w:val="24873757"/>
    <w:rsid w:val="24914E4F"/>
    <w:rsid w:val="24932F5F"/>
    <w:rsid w:val="24977834"/>
    <w:rsid w:val="249D4138"/>
    <w:rsid w:val="24A21DCD"/>
    <w:rsid w:val="24B85B8C"/>
    <w:rsid w:val="24B86ACA"/>
    <w:rsid w:val="24BF09F7"/>
    <w:rsid w:val="24C70119"/>
    <w:rsid w:val="24CE1E99"/>
    <w:rsid w:val="24CF3471"/>
    <w:rsid w:val="24D46CDA"/>
    <w:rsid w:val="24DE3A27"/>
    <w:rsid w:val="24E52C95"/>
    <w:rsid w:val="24E93300"/>
    <w:rsid w:val="24EC5DD1"/>
    <w:rsid w:val="24EE7D9B"/>
    <w:rsid w:val="24EF141E"/>
    <w:rsid w:val="24F75EE4"/>
    <w:rsid w:val="24FA071F"/>
    <w:rsid w:val="24FA250B"/>
    <w:rsid w:val="25051FD1"/>
    <w:rsid w:val="250C1FD0"/>
    <w:rsid w:val="250E4F12"/>
    <w:rsid w:val="2511191D"/>
    <w:rsid w:val="251B77D1"/>
    <w:rsid w:val="252D53FE"/>
    <w:rsid w:val="25317C88"/>
    <w:rsid w:val="254862E8"/>
    <w:rsid w:val="255839EB"/>
    <w:rsid w:val="255E4843"/>
    <w:rsid w:val="25623E38"/>
    <w:rsid w:val="25663325"/>
    <w:rsid w:val="256E08CF"/>
    <w:rsid w:val="257E7948"/>
    <w:rsid w:val="258424AE"/>
    <w:rsid w:val="258D0FB6"/>
    <w:rsid w:val="25B97841"/>
    <w:rsid w:val="25BB7A33"/>
    <w:rsid w:val="25C31BCE"/>
    <w:rsid w:val="25D33140"/>
    <w:rsid w:val="25E95264"/>
    <w:rsid w:val="25EC2D81"/>
    <w:rsid w:val="25F529EA"/>
    <w:rsid w:val="25FC1D35"/>
    <w:rsid w:val="25FF5F85"/>
    <w:rsid w:val="260A3B11"/>
    <w:rsid w:val="2610344C"/>
    <w:rsid w:val="2611147C"/>
    <w:rsid w:val="26155C8D"/>
    <w:rsid w:val="26157FD6"/>
    <w:rsid w:val="26211AAB"/>
    <w:rsid w:val="26212EE8"/>
    <w:rsid w:val="26215F4F"/>
    <w:rsid w:val="262C7A1F"/>
    <w:rsid w:val="263E7846"/>
    <w:rsid w:val="264E041C"/>
    <w:rsid w:val="264E1180"/>
    <w:rsid w:val="264E42BB"/>
    <w:rsid w:val="26523639"/>
    <w:rsid w:val="2655609E"/>
    <w:rsid w:val="26573AC8"/>
    <w:rsid w:val="265A30A2"/>
    <w:rsid w:val="265B5A25"/>
    <w:rsid w:val="265E3130"/>
    <w:rsid w:val="265E6B7D"/>
    <w:rsid w:val="26651F88"/>
    <w:rsid w:val="26654954"/>
    <w:rsid w:val="2669322A"/>
    <w:rsid w:val="26756E12"/>
    <w:rsid w:val="26795575"/>
    <w:rsid w:val="268F44C0"/>
    <w:rsid w:val="26910426"/>
    <w:rsid w:val="26922E8E"/>
    <w:rsid w:val="26955FF5"/>
    <w:rsid w:val="26A3333B"/>
    <w:rsid w:val="26B179B6"/>
    <w:rsid w:val="26B33D96"/>
    <w:rsid w:val="26B4291F"/>
    <w:rsid w:val="26BE61FF"/>
    <w:rsid w:val="26C22F24"/>
    <w:rsid w:val="26C650AB"/>
    <w:rsid w:val="26CE3230"/>
    <w:rsid w:val="26D0567D"/>
    <w:rsid w:val="26D74E87"/>
    <w:rsid w:val="26DF4965"/>
    <w:rsid w:val="26E776AA"/>
    <w:rsid w:val="26FC6074"/>
    <w:rsid w:val="27004F07"/>
    <w:rsid w:val="27044654"/>
    <w:rsid w:val="270C7D0F"/>
    <w:rsid w:val="270F7B55"/>
    <w:rsid w:val="271D1BDA"/>
    <w:rsid w:val="271F6890"/>
    <w:rsid w:val="2727416A"/>
    <w:rsid w:val="272B0D16"/>
    <w:rsid w:val="273121C1"/>
    <w:rsid w:val="27362E33"/>
    <w:rsid w:val="274525DA"/>
    <w:rsid w:val="274A4AAE"/>
    <w:rsid w:val="274A5A8A"/>
    <w:rsid w:val="2753735E"/>
    <w:rsid w:val="275F0174"/>
    <w:rsid w:val="27665214"/>
    <w:rsid w:val="276B2997"/>
    <w:rsid w:val="277057A2"/>
    <w:rsid w:val="2781068C"/>
    <w:rsid w:val="278D4132"/>
    <w:rsid w:val="278E7D84"/>
    <w:rsid w:val="27935710"/>
    <w:rsid w:val="27A75FE0"/>
    <w:rsid w:val="27A9788D"/>
    <w:rsid w:val="27AB0499"/>
    <w:rsid w:val="27AC5CEC"/>
    <w:rsid w:val="27B51DF5"/>
    <w:rsid w:val="27B55938"/>
    <w:rsid w:val="27B7380C"/>
    <w:rsid w:val="27BF1EEB"/>
    <w:rsid w:val="27C052F3"/>
    <w:rsid w:val="27C25978"/>
    <w:rsid w:val="27C54EFC"/>
    <w:rsid w:val="27C901D4"/>
    <w:rsid w:val="27DF1EA2"/>
    <w:rsid w:val="27E06FD8"/>
    <w:rsid w:val="27EC5E90"/>
    <w:rsid w:val="27EF439E"/>
    <w:rsid w:val="27F27F1B"/>
    <w:rsid w:val="27FF587B"/>
    <w:rsid w:val="27FF6933"/>
    <w:rsid w:val="2802776D"/>
    <w:rsid w:val="280E3F08"/>
    <w:rsid w:val="281100EC"/>
    <w:rsid w:val="2811554E"/>
    <w:rsid w:val="2824748D"/>
    <w:rsid w:val="28270496"/>
    <w:rsid w:val="282A6B8B"/>
    <w:rsid w:val="282C5F1D"/>
    <w:rsid w:val="282D0B28"/>
    <w:rsid w:val="283075FD"/>
    <w:rsid w:val="283276BD"/>
    <w:rsid w:val="2836371C"/>
    <w:rsid w:val="283C3BD5"/>
    <w:rsid w:val="284B1EEF"/>
    <w:rsid w:val="284C7C2C"/>
    <w:rsid w:val="284F01C6"/>
    <w:rsid w:val="284F4462"/>
    <w:rsid w:val="28502C55"/>
    <w:rsid w:val="28580184"/>
    <w:rsid w:val="285D3996"/>
    <w:rsid w:val="28621665"/>
    <w:rsid w:val="28656F4B"/>
    <w:rsid w:val="28680565"/>
    <w:rsid w:val="28697739"/>
    <w:rsid w:val="287610CE"/>
    <w:rsid w:val="28776596"/>
    <w:rsid w:val="288B76AF"/>
    <w:rsid w:val="28976352"/>
    <w:rsid w:val="28B142FA"/>
    <w:rsid w:val="28B210E0"/>
    <w:rsid w:val="28B317E2"/>
    <w:rsid w:val="28B854E4"/>
    <w:rsid w:val="28C96173"/>
    <w:rsid w:val="28CC2249"/>
    <w:rsid w:val="28D13971"/>
    <w:rsid w:val="28D24EA0"/>
    <w:rsid w:val="28E40F81"/>
    <w:rsid w:val="28E551A2"/>
    <w:rsid w:val="28EB2FB0"/>
    <w:rsid w:val="28ED35EC"/>
    <w:rsid w:val="28ED48BC"/>
    <w:rsid w:val="28F406C4"/>
    <w:rsid w:val="28FA2ADE"/>
    <w:rsid w:val="290509DF"/>
    <w:rsid w:val="290C4C94"/>
    <w:rsid w:val="29146CCB"/>
    <w:rsid w:val="291F2A6C"/>
    <w:rsid w:val="29206EB8"/>
    <w:rsid w:val="29253660"/>
    <w:rsid w:val="292F4D98"/>
    <w:rsid w:val="29302AC8"/>
    <w:rsid w:val="29334DE8"/>
    <w:rsid w:val="29361F1D"/>
    <w:rsid w:val="294502A2"/>
    <w:rsid w:val="29451F54"/>
    <w:rsid w:val="2945597E"/>
    <w:rsid w:val="29496A85"/>
    <w:rsid w:val="29590121"/>
    <w:rsid w:val="29595666"/>
    <w:rsid w:val="2963157E"/>
    <w:rsid w:val="297B3BC8"/>
    <w:rsid w:val="297D5404"/>
    <w:rsid w:val="297E13FD"/>
    <w:rsid w:val="297F5466"/>
    <w:rsid w:val="29874881"/>
    <w:rsid w:val="298958A4"/>
    <w:rsid w:val="298C358E"/>
    <w:rsid w:val="298D7BBA"/>
    <w:rsid w:val="29912BCA"/>
    <w:rsid w:val="29A87D3E"/>
    <w:rsid w:val="29AF73CD"/>
    <w:rsid w:val="29B175E9"/>
    <w:rsid w:val="29B60146"/>
    <w:rsid w:val="29B66A52"/>
    <w:rsid w:val="29BE0967"/>
    <w:rsid w:val="29BE6A28"/>
    <w:rsid w:val="29CF6BD6"/>
    <w:rsid w:val="29D049BC"/>
    <w:rsid w:val="29D37560"/>
    <w:rsid w:val="29D545D9"/>
    <w:rsid w:val="29E325E0"/>
    <w:rsid w:val="29E51041"/>
    <w:rsid w:val="29F2024A"/>
    <w:rsid w:val="29FB0CCF"/>
    <w:rsid w:val="29FD638B"/>
    <w:rsid w:val="2A05173A"/>
    <w:rsid w:val="2A073597"/>
    <w:rsid w:val="2A127B42"/>
    <w:rsid w:val="2A144C3A"/>
    <w:rsid w:val="2A174E5E"/>
    <w:rsid w:val="2A2000D4"/>
    <w:rsid w:val="2A24600D"/>
    <w:rsid w:val="2A273B1C"/>
    <w:rsid w:val="2A2F55A2"/>
    <w:rsid w:val="2A2F74BC"/>
    <w:rsid w:val="2A3873C3"/>
    <w:rsid w:val="2A3A138D"/>
    <w:rsid w:val="2A4427DA"/>
    <w:rsid w:val="2A452503"/>
    <w:rsid w:val="2A4A3F7F"/>
    <w:rsid w:val="2A5000BF"/>
    <w:rsid w:val="2A510E11"/>
    <w:rsid w:val="2A5561C7"/>
    <w:rsid w:val="2A636C24"/>
    <w:rsid w:val="2A6A49FA"/>
    <w:rsid w:val="2A7A45D7"/>
    <w:rsid w:val="2A7A7E04"/>
    <w:rsid w:val="2A7F6FB8"/>
    <w:rsid w:val="2A8025BE"/>
    <w:rsid w:val="2A8805D6"/>
    <w:rsid w:val="2A8C51A4"/>
    <w:rsid w:val="2A905123"/>
    <w:rsid w:val="2A9145D0"/>
    <w:rsid w:val="2A9639F7"/>
    <w:rsid w:val="2A9F4655"/>
    <w:rsid w:val="2AA44A57"/>
    <w:rsid w:val="2AA94031"/>
    <w:rsid w:val="2AAB6ACB"/>
    <w:rsid w:val="2AB24026"/>
    <w:rsid w:val="2AC67491"/>
    <w:rsid w:val="2AC75AAB"/>
    <w:rsid w:val="2AD95156"/>
    <w:rsid w:val="2ADA66CC"/>
    <w:rsid w:val="2AE35581"/>
    <w:rsid w:val="2AE510C8"/>
    <w:rsid w:val="2AEC6B2B"/>
    <w:rsid w:val="2AED28A3"/>
    <w:rsid w:val="2AF24D4D"/>
    <w:rsid w:val="2AF4496F"/>
    <w:rsid w:val="2AFC49B2"/>
    <w:rsid w:val="2B000E37"/>
    <w:rsid w:val="2B004B62"/>
    <w:rsid w:val="2B0E58C7"/>
    <w:rsid w:val="2B141BDE"/>
    <w:rsid w:val="2B1565B6"/>
    <w:rsid w:val="2B162884"/>
    <w:rsid w:val="2B1C4F36"/>
    <w:rsid w:val="2B2B4245"/>
    <w:rsid w:val="2B312790"/>
    <w:rsid w:val="2B3C5684"/>
    <w:rsid w:val="2B4A227A"/>
    <w:rsid w:val="2B4E49BC"/>
    <w:rsid w:val="2B5F6E6D"/>
    <w:rsid w:val="2B606EB3"/>
    <w:rsid w:val="2B684D9D"/>
    <w:rsid w:val="2B6A6804"/>
    <w:rsid w:val="2B6F338E"/>
    <w:rsid w:val="2B7411D8"/>
    <w:rsid w:val="2B755FB6"/>
    <w:rsid w:val="2B76204D"/>
    <w:rsid w:val="2B79696F"/>
    <w:rsid w:val="2B7E5CBC"/>
    <w:rsid w:val="2B83569F"/>
    <w:rsid w:val="2B8666F2"/>
    <w:rsid w:val="2B9324F7"/>
    <w:rsid w:val="2B996587"/>
    <w:rsid w:val="2BA469F7"/>
    <w:rsid w:val="2BA56CDA"/>
    <w:rsid w:val="2BA80578"/>
    <w:rsid w:val="2BA936A8"/>
    <w:rsid w:val="2BA959DB"/>
    <w:rsid w:val="2BAA4961"/>
    <w:rsid w:val="2BAA609E"/>
    <w:rsid w:val="2BAC6ABB"/>
    <w:rsid w:val="2BAC7D62"/>
    <w:rsid w:val="2BAE2DE8"/>
    <w:rsid w:val="2BC71154"/>
    <w:rsid w:val="2BD03C09"/>
    <w:rsid w:val="2BDB26FC"/>
    <w:rsid w:val="2BDF77A1"/>
    <w:rsid w:val="2BE04B7E"/>
    <w:rsid w:val="2BE63461"/>
    <w:rsid w:val="2BEA0B91"/>
    <w:rsid w:val="2BEC33F9"/>
    <w:rsid w:val="2BEC5266"/>
    <w:rsid w:val="2BF352B2"/>
    <w:rsid w:val="2BF51C12"/>
    <w:rsid w:val="2BF92CA4"/>
    <w:rsid w:val="2BF9492B"/>
    <w:rsid w:val="2BFF2884"/>
    <w:rsid w:val="2C032554"/>
    <w:rsid w:val="2C0B41E4"/>
    <w:rsid w:val="2C1118D2"/>
    <w:rsid w:val="2C126323"/>
    <w:rsid w:val="2C212804"/>
    <w:rsid w:val="2C256C46"/>
    <w:rsid w:val="2C315A5A"/>
    <w:rsid w:val="2C42125A"/>
    <w:rsid w:val="2C47119D"/>
    <w:rsid w:val="2C4B1C25"/>
    <w:rsid w:val="2C4C50A7"/>
    <w:rsid w:val="2C571B00"/>
    <w:rsid w:val="2C5D3896"/>
    <w:rsid w:val="2C5E2241"/>
    <w:rsid w:val="2C6148C0"/>
    <w:rsid w:val="2C6540EB"/>
    <w:rsid w:val="2C702344"/>
    <w:rsid w:val="2C702805"/>
    <w:rsid w:val="2C70553A"/>
    <w:rsid w:val="2C747C62"/>
    <w:rsid w:val="2C752B50"/>
    <w:rsid w:val="2C7F577D"/>
    <w:rsid w:val="2C805BE8"/>
    <w:rsid w:val="2C8A50C0"/>
    <w:rsid w:val="2C8D3763"/>
    <w:rsid w:val="2C9254B0"/>
    <w:rsid w:val="2C99101C"/>
    <w:rsid w:val="2CA43565"/>
    <w:rsid w:val="2CC02227"/>
    <w:rsid w:val="2CC11EC4"/>
    <w:rsid w:val="2CC32F45"/>
    <w:rsid w:val="2CCA0AFC"/>
    <w:rsid w:val="2CD902C4"/>
    <w:rsid w:val="2CE16125"/>
    <w:rsid w:val="2CE7440E"/>
    <w:rsid w:val="2CEF3148"/>
    <w:rsid w:val="2D0073BB"/>
    <w:rsid w:val="2D013F71"/>
    <w:rsid w:val="2D01478B"/>
    <w:rsid w:val="2D053ED4"/>
    <w:rsid w:val="2D066D66"/>
    <w:rsid w:val="2D090AFE"/>
    <w:rsid w:val="2D0F08AF"/>
    <w:rsid w:val="2D15500B"/>
    <w:rsid w:val="2D1D0FB9"/>
    <w:rsid w:val="2D2823B5"/>
    <w:rsid w:val="2D385B52"/>
    <w:rsid w:val="2D475F04"/>
    <w:rsid w:val="2D4C325D"/>
    <w:rsid w:val="2D4E6188"/>
    <w:rsid w:val="2D5B4C3F"/>
    <w:rsid w:val="2D623AC8"/>
    <w:rsid w:val="2D64625C"/>
    <w:rsid w:val="2D7670AF"/>
    <w:rsid w:val="2D8120F5"/>
    <w:rsid w:val="2D875092"/>
    <w:rsid w:val="2D913E9F"/>
    <w:rsid w:val="2D9E018F"/>
    <w:rsid w:val="2D9E56F5"/>
    <w:rsid w:val="2DA15B28"/>
    <w:rsid w:val="2DA57465"/>
    <w:rsid w:val="2DAC0344"/>
    <w:rsid w:val="2DAD00C8"/>
    <w:rsid w:val="2DAF2092"/>
    <w:rsid w:val="2DC01BA9"/>
    <w:rsid w:val="2DC07A48"/>
    <w:rsid w:val="2DC66B8D"/>
    <w:rsid w:val="2DCF1999"/>
    <w:rsid w:val="2DD35D80"/>
    <w:rsid w:val="2DD40610"/>
    <w:rsid w:val="2DD9710F"/>
    <w:rsid w:val="2DDB2E87"/>
    <w:rsid w:val="2DF85814"/>
    <w:rsid w:val="2DFC0040"/>
    <w:rsid w:val="2E093550"/>
    <w:rsid w:val="2E0E7E76"/>
    <w:rsid w:val="2E101F50"/>
    <w:rsid w:val="2E18328F"/>
    <w:rsid w:val="2E2151DA"/>
    <w:rsid w:val="2E2358E6"/>
    <w:rsid w:val="2E2B24B4"/>
    <w:rsid w:val="2E3031D3"/>
    <w:rsid w:val="2E333DF6"/>
    <w:rsid w:val="2E3E1B7D"/>
    <w:rsid w:val="2E412155"/>
    <w:rsid w:val="2E42643B"/>
    <w:rsid w:val="2E44333C"/>
    <w:rsid w:val="2E4772B4"/>
    <w:rsid w:val="2E516C1C"/>
    <w:rsid w:val="2E553A01"/>
    <w:rsid w:val="2E642E7C"/>
    <w:rsid w:val="2E66169E"/>
    <w:rsid w:val="2E667F96"/>
    <w:rsid w:val="2E694025"/>
    <w:rsid w:val="2E6E18D4"/>
    <w:rsid w:val="2E710B92"/>
    <w:rsid w:val="2E755089"/>
    <w:rsid w:val="2E7C038F"/>
    <w:rsid w:val="2E8226AB"/>
    <w:rsid w:val="2E862722"/>
    <w:rsid w:val="2E8B0628"/>
    <w:rsid w:val="2E9B6CBC"/>
    <w:rsid w:val="2E9F6B91"/>
    <w:rsid w:val="2EA26E8B"/>
    <w:rsid w:val="2EA53A53"/>
    <w:rsid w:val="2EAB694B"/>
    <w:rsid w:val="2EAE2349"/>
    <w:rsid w:val="2EB47E21"/>
    <w:rsid w:val="2EB73C4F"/>
    <w:rsid w:val="2ED02C3C"/>
    <w:rsid w:val="2ED555BF"/>
    <w:rsid w:val="2ED73AE3"/>
    <w:rsid w:val="2EDA6AB7"/>
    <w:rsid w:val="2EE23E42"/>
    <w:rsid w:val="2EE5421D"/>
    <w:rsid w:val="2EEB69BB"/>
    <w:rsid w:val="2EFF2BA5"/>
    <w:rsid w:val="2F01327E"/>
    <w:rsid w:val="2F1B0A97"/>
    <w:rsid w:val="2F392490"/>
    <w:rsid w:val="2F4405B8"/>
    <w:rsid w:val="2F4839F7"/>
    <w:rsid w:val="2F4922B0"/>
    <w:rsid w:val="2F494451"/>
    <w:rsid w:val="2F547F29"/>
    <w:rsid w:val="2F5C3D32"/>
    <w:rsid w:val="2F762771"/>
    <w:rsid w:val="2F7D79DC"/>
    <w:rsid w:val="2F8310E0"/>
    <w:rsid w:val="2F841C7C"/>
    <w:rsid w:val="2F8623BA"/>
    <w:rsid w:val="2F8D15C6"/>
    <w:rsid w:val="2FA2139A"/>
    <w:rsid w:val="2FA23C5C"/>
    <w:rsid w:val="2FAE01DD"/>
    <w:rsid w:val="2FB436DA"/>
    <w:rsid w:val="2FB90FA6"/>
    <w:rsid w:val="2FC13BB4"/>
    <w:rsid w:val="2FCB33FE"/>
    <w:rsid w:val="2FD065E6"/>
    <w:rsid w:val="2FD83DF3"/>
    <w:rsid w:val="2FD96870"/>
    <w:rsid w:val="2FDA10E3"/>
    <w:rsid w:val="2FDB2B3D"/>
    <w:rsid w:val="2FDB2CCA"/>
    <w:rsid w:val="2FE37DD1"/>
    <w:rsid w:val="2FED0C50"/>
    <w:rsid w:val="2FF921ED"/>
    <w:rsid w:val="3002046F"/>
    <w:rsid w:val="3002632D"/>
    <w:rsid w:val="30054E44"/>
    <w:rsid w:val="30093CDB"/>
    <w:rsid w:val="30276FC7"/>
    <w:rsid w:val="302A7B5A"/>
    <w:rsid w:val="302F14D0"/>
    <w:rsid w:val="303613E6"/>
    <w:rsid w:val="3037327E"/>
    <w:rsid w:val="30494674"/>
    <w:rsid w:val="30517724"/>
    <w:rsid w:val="30541F75"/>
    <w:rsid w:val="30573AC0"/>
    <w:rsid w:val="30580BC9"/>
    <w:rsid w:val="30590DBB"/>
    <w:rsid w:val="30605E09"/>
    <w:rsid w:val="30662837"/>
    <w:rsid w:val="307E0A62"/>
    <w:rsid w:val="30824F1F"/>
    <w:rsid w:val="30847806"/>
    <w:rsid w:val="308D7C8E"/>
    <w:rsid w:val="30963095"/>
    <w:rsid w:val="309B55B6"/>
    <w:rsid w:val="309D42E7"/>
    <w:rsid w:val="309D61D2"/>
    <w:rsid w:val="30A26CD4"/>
    <w:rsid w:val="30B454B7"/>
    <w:rsid w:val="30B533E4"/>
    <w:rsid w:val="30C13733"/>
    <w:rsid w:val="30C44073"/>
    <w:rsid w:val="30D05E8E"/>
    <w:rsid w:val="30D94EEE"/>
    <w:rsid w:val="30E07815"/>
    <w:rsid w:val="30E20088"/>
    <w:rsid w:val="30E65DCB"/>
    <w:rsid w:val="30EB0350"/>
    <w:rsid w:val="30F533E4"/>
    <w:rsid w:val="30F55AD1"/>
    <w:rsid w:val="30F67B7C"/>
    <w:rsid w:val="310B6E92"/>
    <w:rsid w:val="310D27BA"/>
    <w:rsid w:val="31115F18"/>
    <w:rsid w:val="311A3CC6"/>
    <w:rsid w:val="311A3FB3"/>
    <w:rsid w:val="311A50D8"/>
    <w:rsid w:val="311C21C8"/>
    <w:rsid w:val="311E2ED7"/>
    <w:rsid w:val="31201F33"/>
    <w:rsid w:val="31205E1C"/>
    <w:rsid w:val="312D0BF8"/>
    <w:rsid w:val="312D1F9E"/>
    <w:rsid w:val="312D78AF"/>
    <w:rsid w:val="3131667C"/>
    <w:rsid w:val="31317049"/>
    <w:rsid w:val="31386F70"/>
    <w:rsid w:val="313E50B5"/>
    <w:rsid w:val="314020EB"/>
    <w:rsid w:val="314A6661"/>
    <w:rsid w:val="314B534F"/>
    <w:rsid w:val="315619EE"/>
    <w:rsid w:val="315A3BE0"/>
    <w:rsid w:val="315C449C"/>
    <w:rsid w:val="315F792B"/>
    <w:rsid w:val="3161376C"/>
    <w:rsid w:val="31637B09"/>
    <w:rsid w:val="316B01E0"/>
    <w:rsid w:val="3174630D"/>
    <w:rsid w:val="3183186B"/>
    <w:rsid w:val="318A52EC"/>
    <w:rsid w:val="31A2561A"/>
    <w:rsid w:val="31A82CB2"/>
    <w:rsid w:val="31A87524"/>
    <w:rsid w:val="31B62F50"/>
    <w:rsid w:val="31B82709"/>
    <w:rsid w:val="31C556A6"/>
    <w:rsid w:val="31CA6773"/>
    <w:rsid w:val="31D05482"/>
    <w:rsid w:val="31D95E40"/>
    <w:rsid w:val="31F6717C"/>
    <w:rsid w:val="31F73672"/>
    <w:rsid w:val="31FE1258"/>
    <w:rsid w:val="32065709"/>
    <w:rsid w:val="320F6130"/>
    <w:rsid w:val="32175BBA"/>
    <w:rsid w:val="321E2725"/>
    <w:rsid w:val="32245A3D"/>
    <w:rsid w:val="32296CE3"/>
    <w:rsid w:val="322A527C"/>
    <w:rsid w:val="322A58F7"/>
    <w:rsid w:val="322B1E6E"/>
    <w:rsid w:val="322C442B"/>
    <w:rsid w:val="322D57A4"/>
    <w:rsid w:val="3237401D"/>
    <w:rsid w:val="323B5BA1"/>
    <w:rsid w:val="323F5503"/>
    <w:rsid w:val="32400B34"/>
    <w:rsid w:val="324059AE"/>
    <w:rsid w:val="32443BE1"/>
    <w:rsid w:val="32546AD2"/>
    <w:rsid w:val="32685FC7"/>
    <w:rsid w:val="32717BF7"/>
    <w:rsid w:val="32740C3D"/>
    <w:rsid w:val="32775179"/>
    <w:rsid w:val="327B69E7"/>
    <w:rsid w:val="327D2EF2"/>
    <w:rsid w:val="32804D4B"/>
    <w:rsid w:val="328106C7"/>
    <w:rsid w:val="3281224F"/>
    <w:rsid w:val="3286076D"/>
    <w:rsid w:val="32892EB1"/>
    <w:rsid w:val="32896408"/>
    <w:rsid w:val="328A4FE6"/>
    <w:rsid w:val="328F087F"/>
    <w:rsid w:val="32990C1B"/>
    <w:rsid w:val="329D2D52"/>
    <w:rsid w:val="329E206C"/>
    <w:rsid w:val="329E6876"/>
    <w:rsid w:val="32A23F73"/>
    <w:rsid w:val="32A61A11"/>
    <w:rsid w:val="32A85513"/>
    <w:rsid w:val="32A9285A"/>
    <w:rsid w:val="32C24D35"/>
    <w:rsid w:val="32C9236F"/>
    <w:rsid w:val="32C92C37"/>
    <w:rsid w:val="32CA4641"/>
    <w:rsid w:val="32CD7A3B"/>
    <w:rsid w:val="32D62255"/>
    <w:rsid w:val="32D72215"/>
    <w:rsid w:val="32D90961"/>
    <w:rsid w:val="32DB1C5F"/>
    <w:rsid w:val="32E013C3"/>
    <w:rsid w:val="32E1252D"/>
    <w:rsid w:val="32EE31BA"/>
    <w:rsid w:val="32EF4BCE"/>
    <w:rsid w:val="32F141AB"/>
    <w:rsid w:val="32F239F1"/>
    <w:rsid w:val="32F5774A"/>
    <w:rsid w:val="3303052F"/>
    <w:rsid w:val="33054D7F"/>
    <w:rsid w:val="330F175E"/>
    <w:rsid w:val="331035D3"/>
    <w:rsid w:val="331F55C4"/>
    <w:rsid w:val="332B3F69"/>
    <w:rsid w:val="332F36D7"/>
    <w:rsid w:val="332F4031"/>
    <w:rsid w:val="333015F2"/>
    <w:rsid w:val="333A0650"/>
    <w:rsid w:val="333C49E6"/>
    <w:rsid w:val="333D3125"/>
    <w:rsid w:val="33490225"/>
    <w:rsid w:val="334B6320"/>
    <w:rsid w:val="33513EDE"/>
    <w:rsid w:val="33525444"/>
    <w:rsid w:val="33534DDB"/>
    <w:rsid w:val="335524A7"/>
    <w:rsid w:val="335B1420"/>
    <w:rsid w:val="335E7625"/>
    <w:rsid w:val="33605981"/>
    <w:rsid w:val="33615BDC"/>
    <w:rsid w:val="337036DD"/>
    <w:rsid w:val="337E678E"/>
    <w:rsid w:val="337F3D01"/>
    <w:rsid w:val="338C4169"/>
    <w:rsid w:val="338C634A"/>
    <w:rsid w:val="339E0BDF"/>
    <w:rsid w:val="339E0DDD"/>
    <w:rsid w:val="33A01BE9"/>
    <w:rsid w:val="33A51F6D"/>
    <w:rsid w:val="33B201E6"/>
    <w:rsid w:val="33BB2ABA"/>
    <w:rsid w:val="33D907E7"/>
    <w:rsid w:val="33D934D4"/>
    <w:rsid w:val="33DB598F"/>
    <w:rsid w:val="33E34843"/>
    <w:rsid w:val="33F36A09"/>
    <w:rsid w:val="33F467FD"/>
    <w:rsid w:val="33F54456"/>
    <w:rsid w:val="33FE2F6A"/>
    <w:rsid w:val="340553AC"/>
    <w:rsid w:val="340B78F6"/>
    <w:rsid w:val="340E07E5"/>
    <w:rsid w:val="3413427F"/>
    <w:rsid w:val="3417273F"/>
    <w:rsid w:val="34186771"/>
    <w:rsid w:val="34235BF7"/>
    <w:rsid w:val="342634A8"/>
    <w:rsid w:val="34344313"/>
    <w:rsid w:val="34373D82"/>
    <w:rsid w:val="343C3BFC"/>
    <w:rsid w:val="3444357A"/>
    <w:rsid w:val="34497699"/>
    <w:rsid w:val="34555986"/>
    <w:rsid w:val="345B50E8"/>
    <w:rsid w:val="34715DA4"/>
    <w:rsid w:val="347D5BBD"/>
    <w:rsid w:val="349D153A"/>
    <w:rsid w:val="349D55FC"/>
    <w:rsid w:val="34A174A2"/>
    <w:rsid w:val="34C96E9F"/>
    <w:rsid w:val="34D067CE"/>
    <w:rsid w:val="34D16D2B"/>
    <w:rsid w:val="34D70D49"/>
    <w:rsid w:val="34DD1293"/>
    <w:rsid w:val="34DE2641"/>
    <w:rsid w:val="34E10F10"/>
    <w:rsid w:val="34F25426"/>
    <w:rsid w:val="35065660"/>
    <w:rsid w:val="35084D92"/>
    <w:rsid w:val="350C1B78"/>
    <w:rsid w:val="350E01E4"/>
    <w:rsid w:val="350E6476"/>
    <w:rsid w:val="35162305"/>
    <w:rsid w:val="351D09B0"/>
    <w:rsid w:val="3532492F"/>
    <w:rsid w:val="35591533"/>
    <w:rsid w:val="356D72E5"/>
    <w:rsid w:val="356F67F3"/>
    <w:rsid w:val="357777F7"/>
    <w:rsid w:val="357C0B77"/>
    <w:rsid w:val="35804D8A"/>
    <w:rsid w:val="35831FAE"/>
    <w:rsid w:val="358C5FA8"/>
    <w:rsid w:val="358C7AD5"/>
    <w:rsid w:val="35983F52"/>
    <w:rsid w:val="3599521E"/>
    <w:rsid w:val="359C3A90"/>
    <w:rsid w:val="35A71FB7"/>
    <w:rsid w:val="35A87FF2"/>
    <w:rsid w:val="35B069A7"/>
    <w:rsid w:val="35B57BD7"/>
    <w:rsid w:val="35B9585C"/>
    <w:rsid w:val="35C15DF1"/>
    <w:rsid w:val="35C303CE"/>
    <w:rsid w:val="35CB3193"/>
    <w:rsid w:val="35D112E4"/>
    <w:rsid w:val="35E71FFB"/>
    <w:rsid w:val="35EE1854"/>
    <w:rsid w:val="35F03248"/>
    <w:rsid w:val="35F5085E"/>
    <w:rsid w:val="35F84DA7"/>
    <w:rsid w:val="35F91638"/>
    <w:rsid w:val="360423B2"/>
    <w:rsid w:val="36074A7F"/>
    <w:rsid w:val="3608233F"/>
    <w:rsid w:val="3612630C"/>
    <w:rsid w:val="36160831"/>
    <w:rsid w:val="361C4920"/>
    <w:rsid w:val="36231A70"/>
    <w:rsid w:val="362C515C"/>
    <w:rsid w:val="362D5865"/>
    <w:rsid w:val="36341E2D"/>
    <w:rsid w:val="36463228"/>
    <w:rsid w:val="364C5B02"/>
    <w:rsid w:val="365150C3"/>
    <w:rsid w:val="36620995"/>
    <w:rsid w:val="36694044"/>
    <w:rsid w:val="36714EB1"/>
    <w:rsid w:val="36771C16"/>
    <w:rsid w:val="36921222"/>
    <w:rsid w:val="36923549"/>
    <w:rsid w:val="369B31B3"/>
    <w:rsid w:val="36AD4D0A"/>
    <w:rsid w:val="36B75FBF"/>
    <w:rsid w:val="36BD0C45"/>
    <w:rsid w:val="36C07B43"/>
    <w:rsid w:val="36C10769"/>
    <w:rsid w:val="36C12E04"/>
    <w:rsid w:val="36C21106"/>
    <w:rsid w:val="36C417F2"/>
    <w:rsid w:val="36D14E27"/>
    <w:rsid w:val="36D17622"/>
    <w:rsid w:val="36D40094"/>
    <w:rsid w:val="36D46A54"/>
    <w:rsid w:val="36D80A21"/>
    <w:rsid w:val="36E8784F"/>
    <w:rsid w:val="36FA7D49"/>
    <w:rsid w:val="370551CE"/>
    <w:rsid w:val="37107718"/>
    <w:rsid w:val="37113CF9"/>
    <w:rsid w:val="3712395E"/>
    <w:rsid w:val="371A4A20"/>
    <w:rsid w:val="371C0578"/>
    <w:rsid w:val="371C1729"/>
    <w:rsid w:val="371D3914"/>
    <w:rsid w:val="371D3E87"/>
    <w:rsid w:val="372E1D60"/>
    <w:rsid w:val="374C7A40"/>
    <w:rsid w:val="3758678B"/>
    <w:rsid w:val="37595D33"/>
    <w:rsid w:val="37616B51"/>
    <w:rsid w:val="37797CFF"/>
    <w:rsid w:val="37802E2A"/>
    <w:rsid w:val="3788071A"/>
    <w:rsid w:val="378E15D2"/>
    <w:rsid w:val="37912C45"/>
    <w:rsid w:val="379320DC"/>
    <w:rsid w:val="379708C1"/>
    <w:rsid w:val="379A3437"/>
    <w:rsid w:val="37AC7901"/>
    <w:rsid w:val="37AD630D"/>
    <w:rsid w:val="37AD7642"/>
    <w:rsid w:val="37B17B68"/>
    <w:rsid w:val="37BC07AF"/>
    <w:rsid w:val="37BF1123"/>
    <w:rsid w:val="37CB2932"/>
    <w:rsid w:val="37D32969"/>
    <w:rsid w:val="37D37262"/>
    <w:rsid w:val="37D752E0"/>
    <w:rsid w:val="37DB382C"/>
    <w:rsid w:val="37DF3F1C"/>
    <w:rsid w:val="37E00298"/>
    <w:rsid w:val="37E62B54"/>
    <w:rsid w:val="37E8067A"/>
    <w:rsid w:val="37E878D9"/>
    <w:rsid w:val="37EE4AC4"/>
    <w:rsid w:val="37EF3710"/>
    <w:rsid w:val="37FB3C32"/>
    <w:rsid w:val="38011148"/>
    <w:rsid w:val="38084B05"/>
    <w:rsid w:val="38100884"/>
    <w:rsid w:val="3811398B"/>
    <w:rsid w:val="38123949"/>
    <w:rsid w:val="381407E4"/>
    <w:rsid w:val="38143A12"/>
    <w:rsid w:val="381741D2"/>
    <w:rsid w:val="38174ABC"/>
    <w:rsid w:val="382179C7"/>
    <w:rsid w:val="382B1ABC"/>
    <w:rsid w:val="38344519"/>
    <w:rsid w:val="38357D06"/>
    <w:rsid w:val="383E473E"/>
    <w:rsid w:val="384D7F5A"/>
    <w:rsid w:val="384E0246"/>
    <w:rsid w:val="38522A40"/>
    <w:rsid w:val="385873F1"/>
    <w:rsid w:val="38635F53"/>
    <w:rsid w:val="386844F5"/>
    <w:rsid w:val="386B61DB"/>
    <w:rsid w:val="386C4DF2"/>
    <w:rsid w:val="387A0800"/>
    <w:rsid w:val="387A12E1"/>
    <w:rsid w:val="38806335"/>
    <w:rsid w:val="38837E17"/>
    <w:rsid w:val="388E0D35"/>
    <w:rsid w:val="38923DB9"/>
    <w:rsid w:val="389628A0"/>
    <w:rsid w:val="389B3868"/>
    <w:rsid w:val="389D60C6"/>
    <w:rsid w:val="38A26618"/>
    <w:rsid w:val="38A63183"/>
    <w:rsid w:val="38A752B1"/>
    <w:rsid w:val="38B05D55"/>
    <w:rsid w:val="38B302F9"/>
    <w:rsid w:val="38B73E2A"/>
    <w:rsid w:val="38C819AB"/>
    <w:rsid w:val="38C945E9"/>
    <w:rsid w:val="38CC58A6"/>
    <w:rsid w:val="38CD5FC6"/>
    <w:rsid w:val="38D373DA"/>
    <w:rsid w:val="38D749B2"/>
    <w:rsid w:val="38DB1F0C"/>
    <w:rsid w:val="38E35BF0"/>
    <w:rsid w:val="38E74062"/>
    <w:rsid w:val="38F00069"/>
    <w:rsid w:val="38F12CD3"/>
    <w:rsid w:val="38F207D6"/>
    <w:rsid w:val="38F94775"/>
    <w:rsid w:val="38FD70B2"/>
    <w:rsid w:val="390A2872"/>
    <w:rsid w:val="391337FB"/>
    <w:rsid w:val="391506B8"/>
    <w:rsid w:val="3921022F"/>
    <w:rsid w:val="39211C8B"/>
    <w:rsid w:val="3924240C"/>
    <w:rsid w:val="3926219D"/>
    <w:rsid w:val="392971ED"/>
    <w:rsid w:val="392A3E0A"/>
    <w:rsid w:val="392D2115"/>
    <w:rsid w:val="392D6BCA"/>
    <w:rsid w:val="39325651"/>
    <w:rsid w:val="3934157B"/>
    <w:rsid w:val="393564B6"/>
    <w:rsid w:val="39383279"/>
    <w:rsid w:val="394567DC"/>
    <w:rsid w:val="39456D60"/>
    <w:rsid w:val="394C03B6"/>
    <w:rsid w:val="394E09B1"/>
    <w:rsid w:val="3957578E"/>
    <w:rsid w:val="395D0BF4"/>
    <w:rsid w:val="396A7BED"/>
    <w:rsid w:val="396F353D"/>
    <w:rsid w:val="397346A8"/>
    <w:rsid w:val="397D6D80"/>
    <w:rsid w:val="39874393"/>
    <w:rsid w:val="39893797"/>
    <w:rsid w:val="39921BCD"/>
    <w:rsid w:val="39A21E85"/>
    <w:rsid w:val="39AA12DD"/>
    <w:rsid w:val="39AF06F0"/>
    <w:rsid w:val="39B42DAC"/>
    <w:rsid w:val="39C0615D"/>
    <w:rsid w:val="39C173D5"/>
    <w:rsid w:val="39D46C8B"/>
    <w:rsid w:val="39D87BCE"/>
    <w:rsid w:val="39DB638C"/>
    <w:rsid w:val="39DC420F"/>
    <w:rsid w:val="39E04C02"/>
    <w:rsid w:val="39E17C2C"/>
    <w:rsid w:val="39E91A9E"/>
    <w:rsid w:val="39EC45B3"/>
    <w:rsid w:val="39F44C8D"/>
    <w:rsid w:val="39F635FF"/>
    <w:rsid w:val="3A052A15"/>
    <w:rsid w:val="3A056D8B"/>
    <w:rsid w:val="3A132396"/>
    <w:rsid w:val="3A145757"/>
    <w:rsid w:val="3A2E433E"/>
    <w:rsid w:val="3A39595D"/>
    <w:rsid w:val="3A3D0740"/>
    <w:rsid w:val="3A42563E"/>
    <w:rsid w:val="3A5908FB"/>
    <w:rsid w:val="3A5C7D88"/>
    <w:rsid w:val="3A600F27"/>
    <w:rsid w:val="3A660B4C"/>
    <w:rsid w:val="3A68710A"/>
    <w:rsid w:val="3A6B7257"/>
    <w:rsid w:val="3A6B7F11"/>
    <w:rsid w:val="3A770844"/>
    <w:rsid w:val="3A775CE5"/>
    <w:rsid w:val="3A7D28A2"/>
    <w:rsid w:val="3A7E52C6"/>
    <w:rsid w:val="3A7E7B6E"/>
    <w:rsid w:val="3A872856"/>
    <w:rsid w:val="3A8F369C"/>
    <w:rsid w:val="3A914FF9"/>
    <w:rsid w:val="3A9560DD"/>
    <w:rsid w:val="3A9727FE"/>
    <w:rsid w:val="3A9C574C"/>
    <w:rsid w:val="3AA24002"/>
    <w:rsid w:val="3AA852E1"/>
    <w:rsid w:val="3AA87FAF"/>
    <w:rsid w:val="3AAA1C17"/>
    <w:rsid w:val="3AAD5BAB"/>
    <w:rsid w:val="3AB46F3A"/>
    <w:rsid w:val="3ABF29D0"/>
    <w:rsid w:val="3AC9490B"/>
    <w:rsid w:val="3AE56FDB"/>
    <w:rsid w:val="3AE702D2"/>
    <w:rsid w:val="3AE90C8F"/>
    <w:rsid w:val="3AEA2043"/>
    <w:rsid w:val="3AF86C8C"/>
    <w:rsid w:val="3AFE002A"/>
    <w:rsid w:val="3AFF2232"/>
    <w:rsid w:val="3B191010"/>
    <w:rsid w:val="3B234D65"/>
    <w:rsid w:val="3B2C0ED7"/>
    <w:rsid w:val="3B2F65C0"/>
    <w:rsid w:val="3B3763D1"/>
    <w:rsid w:val="3B4007CD"/>
    <w:rsid w:val="3B4563B2"/>
    <w:rsid w:val="3B4971B2"/>
    <w:rsid w:val="3B56126B"/>
    <w:rsid w:val="3B596E85"/>
    <w:rsid w:val="3B627FF8"/>
    <w:rsid w:val="3B630E4F"/>
    <w:rsid w:val="3B67612F"/>
    <w:rsid w:val="3B705037"/>
    <w:rsid w:val="3B7A3446"/>
    <w:rsid w:val="3B7D37CF"/>
    <w:rsid w:val="3B7E62F3"/>
    <w:rsid w:val="3B837D9E"/>
    <w:rsid w:val="3B84690C"/>
    <w:rsid w:val="3B881E91"/>
    <w:rsid w:val="3B960BF3"/>
    <w:rsid w:val="3B9776D4"/>
    <w:rsid w:val="3B9D65D9"/>
    <w:rsid w:val="3BA207B5"/>
    <w:rsid w:val="3BA23E43"/>
    <w:rsid w:val="3BB20660"/>
    <w:rsid w:val="3BB96AE1"/>
    <w:rsid w:val="3BBA2A97"/>
    <w:rsid w:val="3BCB0097"/>
    <w:rsid w:val="3BDB4FB7"/>
    <w:rsid w:val="3BE31025"/>
    <w:rsid w:val="3BE373A4"/>
    <w:rsid w:val="3BF667CC"/>
    <w:rsid w:val="3BF87FA5"/>
    <w:rsid w:val="3BFD6663"/>
    <w:rsid w:val="3C020126"/>
    <w:rsid w:val="3C0F2FA1"/>
    <w:rsid w:val="3C101271"/>
    <w:rsid w:val="3C1A22B2"/>
    <w:rsid w:val="3C2B4FD9"/>
    <w:rsid w:val="3C2B6D87"/>
    <w:rsid w:val="3C2E55E9"/>
    <w:rsid w:val="3C2F6E1E"/>
    <w:rsid w:val="3C4631C4"/>
    <w:rsid w:val="3C495A94"/>
    <w:rsid w:val="3C4F64BA"/>
    <w:rsid w:val="3C60159D"/>
    <w:rsid w:val="3C614B8E"/>
    <w:rsid w:val="3C6A7B6C"/>
    <w:rsid w:val="3C8400EF"/>
    <w:rsid w:val="3C8A7D72"/>
    <w:rsid w:val="3C9036FC"/>
    <w:rsid w:val="3C910FBD"/>
    <w:rsid w:val="3C9D0976"/>
    <w:rsid w:val="3CA302B3"/>
    <w:rsid w:val="3CA64660"/>
    <w:rsid w:val="3CA71799"/>
    <w:rsid w:val="3CA850A7"/>
    <w:rsid w:val="3CB61676"/>
    <w:rsid w:val="3CC51E2A"/>
    <w:rsid w:val="3CC72BC5"/>
    <w:rsid w:val="3CC776BC"/>
    <w:rsid w:val="3CC859C6"/>
    <w:rsid w:val="3CCB25D5"/>
    <w:rsid w:val="3CCC4EBC"/>
    <w:rsid w:val="3CD35AC5"/>
    <w:rsid w:val="3CD66E75"/>
    <w:rsid w:val="3CDA245A"/>
    <w:rsid w:val="3CDE029E"/>
    <w:rsid w:val="3CDF5915"/>
    <w:rsid w:val="3CEB64DE"/>
    <w:rsid w:val="3CF11D7F"/>
    <w:rsid w:val="3CF5194E"/>
    <w:rsid w:val="3CF628B6"/>
    <w:rsid w:val="3CFE624A"/>
    <w:rsid w:val="3D14623B"/>
    <w:rsid w:val="3D1A1EC1"/>
    <w:rsid w:val="3D1E06B7"/>
    <w:rsid w:val="3D225D01"/>
    <w:rsid w:val="3D2739F3"/>
    <w:rsid w:val="3D2A7C22"/>
    <w:rsid w:val="3D2B2533"/>
    <w:rsid w:val="3D3759AF"/>
    <w:rsid w:val="3D3B2411"/>
    <w:rsid w:val="3D4A04E8"/>
    <w:rsid w:val="3D4F1F55"/>
    <w:rsid w:val="3D501AAF"/>
    <w:rsid w:val="3D503A3E"/>
    <w:rsid w:val="3D5C7EF7"/>
    <w:rsid w:val="3D605DEC"/>
    <w:rsid w:val="3D632551"/>
    <w:rsid w:val="3D63730E"/>
    <w:rsid w:val="3D712EC0"/>
    <w:rsid w:val="3D762284"/>
    <w:rsid w:val="3D770B28"/>
    <w:rsid w:val="3D7B3D3F"/>
    <w:rsid w:val="3D8D48E4"/>
    <w:rsid w:val="3D90606A"/>
    <w:rsid w:val="3D913562"/>
    <w:rsid w:val="3D932FCD"/>
    <w:rsid w:val="3D9B1CEB"/>
    <w:rsid w:val="3DAC0A8D"/>
    <w:rsid w:val="3DAD5902"/>
    <w:rsid w:val="3DAF4CA2"/>
    <w:rsid w:val="3DB07F99"/>
    <w:rsid w:val="3DCF5D88"/>
    <w:rsid w:val="3DD24EE0"/>
    <w:rsid w:val="3DD464BE"/>
    <w:rsid w:val="3DDB2D23"/>
    <w:rsid w:val="3DE17EC6"/>
    <w:rsid w:val="3DEB088C"/>
    <w:rsid w:val="3DF77CB3"/>
    <w:rsid w:val="3DF95BF1"/>
    <w:rsid w:val="3E1A7781"/>
    <w:rsid w:val="3E210442"/>
    <w:rsid w:val="3E2241BA"/>
    <w:rsid w:val="3E22501E"/>
    <w:rsid w:val="3E261987"/>
    <w:rsid w:val="3E2C72A5"/>
    <w:rsid w:val="3E342EA2"/>
    <w:rsid w:val="3E3A0B64"/>
    <w:rsid w:val="3E4E2F60"/>
    <w:rsid w:val="3E4F5F4D"/>
    <w:rsid w:val="3E52482C"/>
    <w:rsid w:val="3E5E2851"/>
    <w:rsid w:val="3E6B3DB3"/>
    <w:rsid w:val="3E6E09E7"/>
    <w:rsid w:val="3E703177"/>
    <w:rsid w:val="3E8660B8"/>
    <w:rsid w:val="3E874FAB"/>
    <w:rsid w:val="3E950E30"/>
    <w:rsid w:val="3EA03FD1"/>
    <w:rsid w:val="3EAD2EA1"/>
    <w:rsid w:val="3EAD7F28"/>
    <w:rsid w:val="3EAE4633"/>
    <w:rsid w:val="3EB05C6A"/>
    <w:rsid w:val="3EB233F8"/>
    <w:rsid w:val="3EB5762F"/>
    <w:rsid w:val="3EB634DB"/>
    <w:rsid w:val="3EB6544A"/>
    <w:rsid w:val="3ED35E29"/>
    <w:rsid w:val="3ED953F3"/>
    <w:rsid w:val="3EDA0523"/>
    <w:rsid w:val="3EDB2CE7"/>
    <w:rsid w:val="3EDB4A95"/>
    <w:rsid w:val="3EDB6EC9"/>
    <w:rsid w:val="3EE3133C"/>
    <w:rsid w:val="3EE877C9"/>
    <w:rsid w:val="3EE964F1"/>
    <w:rsid w:val="3EF50EEE"/>
    <w:rsid w:val="3F01009E"/>
    <w:rsid w:val="3F19380F"/>
    <w:rsid w:val="3F1E1CD7"/>
    <w:rsid w:val="3F2B2366"/>
    <w:rsid w:val="3F2C3A67"/>
    <w:rsid w:val="3F336CD1"/>
    <w:rsid w:val="3F386EFD"/>
    <w:rsid w:val="3F3B0FFA"/>
    <w:rsid w:val="3F534120"/>
    <w:rsid w:val="3F6C57FB"/>
    <w:rsid w:val="3F6F1681"/>
    <w:rsid w:val="3F78729E"/>
    <w:rsid w:val="3F7D5AAC"/>
    <w:rsid w:val="3F806E27"/>
    <w:rsid w:val="3F822001"/>
    <w:rsid w:val="3F837D3B"/>
    <w:rsid w:val="3F91688E"/>
    <w:rsid w:val="3FA178BC"/>
    <w:rsid w:val="3FA3662A"/>
    <w:rsid w:val="3FA60528"/>
    <w:rsid w:val="3FB001C4"/>
    <w:rsid w:val="3FB54F10"/>
    <w:rsid w:val="3FB6105E"/>
    <w:rsid w:val="3FBF2192"/>
    <w:rsid w:val="3FD0493A"/>
    <w:rsid w:val="3FD36309"/>
    <w:rsid w:val="3FDF4747"/>
    <w:rsid w:val="3FFA3110"/>
    <w:rsid w:val="3FFB4F86"/>
    <w:rsid w:val="3FFC24DE"/>
    <w:rsid w:val="3FFD4EDF"/>
    <w:rsid w:val="40003349"/>
    <w:rsid w:val="40040D0E"/>
    <w:rsid w:val="40184D00"/>
    <w:rsid w:val="401D2E8B"/>
    <w:rsid w:val="402B37FA"/>
    <w:rsid w:val="40333D7D"/>
    <w:rsid w:val="403C4580"/>
    <w:rsid w:val="40470859"/>
    <w:rsid w:val="404D19C2"/>
    <w:rsid w:val="40527BAA"/>
    <w:rsid w:val="405F7488"/>
    <w:rsid w:val="40615143"/>
    <w:rsid w:val="406F64DF"/>
    <w:rsid w:val="407A30E8"/>
    <w:rsid w:val="407A6407"/>
    <w:rsid w:val="40880C4C"/>
    <w:rsid w:val="408A32EF"/>
    <w:rsid w:val="409D05F1"/>
    <w:rsid w:val="409F2705"/>
    <w:rsid w:val="40A11D0E"/>
    <w:rsid w:val="40A273BB"/>
    <w:rsid w:val="40AB2D44"/>
    <w:rsid w:val="40AB66E9"/>
    <w:rsid w:val="40BC0F35"/>
    <w:rsid w:val="40CE289B"/>
    <w:rsid w:val="40DC4FAD"/>
    <w:rsid w:val="40E32F73"/>
    <w:rsid w:val="40E44FA1"/>
    <w:rsid w:val="40EF3EF6"/>
    <w:rsid w:val="40F501FF"/>
    <w:rsid w:val="40F77DC0"/>
    <w:rsid w:val="40FB754B"/>
    <w:rsid w:val="40FC412E"/>
    <w:rsid w:val="410F0897"/>
    <w:rsid w:val="410F7A64"/>
    <w:rsid w:val="41111905"/>
    <w:rsid w:val="41146F9C"/>
    <w:rsid w:val="411D296D"/>
    <w:rsid w:val="41290284"/>
    <w:rsid w:val="412D1694"/>
    <w:rsid w:val="412F76F8"/>
    <w:rsid w:val="41326B05"/>
    <w:rsid w:val="413E59B8"/>
    <w:rsid w:val="41414BD1"/>
    <w:rsid w:val="414803DC"/>
    <w:rsid w:val="414F6110"/>
    <w:rsid w:val="4153599E"/>
    <w:rsid w:val="415567E0"/>
    <w:rsid w:val="415574D1"/>
    <w:rsid w:val="41565396"/>
    <w:rsid w:val="41571D81"/>
    <w:rsid w:val="415D5F06"/>
    <w:rsid w:val="41624C88"/>
    <w:rsid w:val="416355B1"/>
    <w:rsid w:val="4175538B"/>
    <w:rsid w:val="41776632"/>
    <w:rsid w:val="41792343"/>
    <w:rsid w:val="417E3DFD"/>
    <w:rsid w:val="41872CB2"/>
    <w:rsid w:val="41881132"/>
    <w:rsid w:val="419667CC"/>
    <w:rsid w:val="41A41AB6"/>
    <w:rsid w:val="41A90E7A"/>
    <w:rsid w:val="41AA074E"/>
    <w:rsid w:val="41AB0E81"/>
    <w:rsid w:val="41AE2F32"/>
    <w:rsid w:val="41B40CA9"/>
    <w:rsid w:val="41BC6565"/>
    <w:rsid w:val="41BF203C"/>
    <w:rsid w:val="41C722CB"/>
    <w:rsid w:val="41CB0D24"/>
    <w:rsid w:val="41CD4AF9"/>
    <w:rsid w:val="41D41513"/>
    <w:rsid w:val="41FD4D22"/>
    <w:rsid w:val="42002A64"/>
    <w:rsid w:val="4200449D"/>
    <w:rsid w:val="42071E5E"/>
    <w:rsid w:val="42097471"/>
    <w:rsid w:val="420A7BD4"/>
    <w:rsid w:val="42142FD5"/>
    <w:rsid w:val="42246753"/>
    <w:rsid w:val="4226105C"/>
    <w:rsid w:val="422943B3"/>
    <w:rsid w:val="42295B17"/>
    <w:rsid w:val="423A3BCC"/>
    <w:rsid w:val="42454200"/>
    <w:rsid w:val="424711A4"/>
    <w:rsid w:val="424E57D2"/>
    <w:rsid w:val="42507FF7"/>
    <w:rsid w:val="425323A6"/>
    <w:rsid w:val="4254454F"/>
    <w:rsid w:val="42544F6C"/>
    <w:rsid w:val="426314D5"/>
    <w:rsid w:val="426379D4"/>
    <w:rsid w:val="42645CCB"/>
    <w:rsid w:val="4271242C"/>
    <w:rsid w:val="42770D5D"/>
    <w:rsid w:val="427D1F92"/>
    <w:rsid w:val="427F0122"/>
    <w:rsid w:val="42890CAC"/>
    <w:rsid w:val="42A132EE"/>
    <w:rsid w:val="42AC0AD0"/>
    <w:rsid w:val="42B26C49"/>
    <w:rsid w:val="42C73093"/>
    <w:rsid w:val="42CD6DEA"/>
    <w:rsid w:val="42D173D3"/>
    <w:rsid w:val="42D21349"/>
    <w:rsid w:val="42D75398"/>
    <w:rsid w:val="42E41102"/>
    <w:rsid w:val="42EE0543"/>
    <w:rsid w:val="42EF2505"/>
    <w:rsid w:val="42F56C87"/>
    <w:rsid w:val="42F777A8"/>
    <w:rsid w:val="42FC0B53"/>
    <w:rsid w:val="42FE4239"/>
    <w:rsid w:val="43080BDC"/>
    <w:rsid w:val="430A60C7"/>
    <w:rsid w:val="431F0C2C"/>
    <w:rsid w:val="432C0078"/>
    <w:rsid w:val="433258E2"/>
    <w:rsid w:val="433558EC"/>
    <w:rsid w:val="433A6FE6"/>
    <w:rsid w:val="433B4C0A"/>
    <w:rsid w:val="433D6DB4"/>
    <w:rsid w:val="4344263E"/>
    <w:rsid w:val="43474DD4"/>
    <w:rsid w:val="43480868"/>
    <w:rsid w:val="434B0BAF"/>
    <w:rsid w:val="4350713C"/>
    <w:rsid w:val="435756DF"/>
    <w:rsid w:val="43584308"/>
    <w:rsid w:val="435F7EE4"/>
    <w:rsid w:val="4362005A"/>
    <w:rsid w:val="436653E0"/>
    <w:rsid w:val="436F38B0"/>
    <w:rsid w:val="43881C18"/>
    <w:rsid w:val="438C45B0"/>
    <w:rsid w:val="43A512F4"/>
    <w:rsid w:val="43A522F4"/>
    <w:rsid w:val="43A80F26"/>
    <w:rsid w:val="43AF7FEE"/>
    <w:rsid w:val="43BE3C9D"/>
    <w:rsid w:val="43C4431A"/>
    <w:rsid w:val="43C764C3"/>
    <w:rsid w:val="43C90C75"/>
    <w:rsid w:val="43C9588D"/>
    <w:rsid w:val="43CE44F8"/>
    <w:rsid w:val="43D30430"/>
    <w:rsid w:val="43D902D5"/>
    <w:rsid w:val="43DE4FA7"/>
    <w:rsid w:val="43E05D25"/>
    <w:rsid w:val="43E754D1"/>
    <w:rsid w:val="43E9558D"/>
    <w:rsid w:val="43EC7858"/>
    <w:rsid w:val="44014B87"/>
    <w:rsid w:val="44056110"/>
    <w:rsid w:val="440804AE"/>
    <w:rsid w:val="44081C44"/>
    <w:rsid w:val="440A1BAB"/>
    <w:rsid w:val="44184095"/>
    <w:rsid w:val="441D5B50"/>
    <w:rsid w:val="442B5B1C"/>
    <w:rsid w:val="442C6182"/>
    <w:rsid w:val="442D79D1"/>
    <w:rsid w:val="44351A1A"/>
    <w:rsid w:val="44396290"/>
    <w:rsid w:val="443963D9"/>
    <w:rsid w:val="44444E8A"/>
    <w:rsid w:val="44491686"/>
    <w:rsid w:val="444D265B"/>
    <w:rsid w:val="44560F6D"/>
    <w:rsid w:val="445A36F9"/>
    <w:rsid w:val="44622B6D"/>
    <w:rsid w:val="446463EC"/>
    <w:rsid w:val="446B15DA"/>
    <w:rsid w:val="446B1ECD"/>
    <w:rsid w:val="44700901"/>
    <w:rsid w:val="447137A5"/>
    <w:rsid w:val="447652F5"/>
    <w:rsid w:val="44831ACC"/>
    <w:rsid w:val="448A5BB8"/>
    <w:rsid w:val="44A13BB6"/>
    <w:rsid w:val="44A30C7A"/>
    <w:rsid w:val="44B42CA7"/>
    <w:rsid w:val="44B813D4"/>
    <w:rsid w:val="44B8698E"/>
    <w:rsid w:val="44B951CC"/>
    <w:rsid w:val="44BF09B5"/>
    <w:rsid w:val="44C634B5"/>
    <w:rsid w:val="44CB5E39"/>
    <w:rsid w:val="44CD1324"/>
    <w:rsid w:val="44CD14E0"/>
    <w:rsid w:val="44DC04D7"/>
    <w:rsid w:val="44E14E26"/>
    <w:rsid w:val="44F20B0B"/>
    <w:rsid w:val="44F7014F"/>
    <w:rsid w:val="45031EBF"/>
    <w:rsid w:val="451231DA"/>
    <w:rsid w:val="45162AA9"/>
    <w:rsid w:val="45287A52"/>
    <w:rsid w:val="45294080"/>
    <w:rsid w:val="452E5F4C"/>
    <w:rsid w:val="45377C50"/>
    <w:rsid w:val="453D5F56"/>
    <w:rsid w:val="45444EBF"/>
    <w:rsid w:val="4547451B"/>
    <w:rsid w:val="45554706"/>
    <w:rsid w:val="4556528D"/>
    <w:rsid w:val="45576E3F"/>
    <w:rsid w:val="455C77D7"/>
    <w:rsid w:val="455E3D2A"/>
    <w:rsid w:val="45612018"/>
    <w:rsid w:val="456D124F"/>
    <w:rsid w:val="456E0C4D"/>
    <w:rsid w:val="457E2731"/>
    <w:rsid w:val="458946E9"/>
    <w:rsid w:val="458C6E29"/>
    <w:rsid w:val="45A47C0E"/>
    <w:rsid w:val="45A558C4"/>
    <w:rsid w:val="45A941BE"/>
    <w:rsid w:val="45A94681"/>
    <w:rsid w:val="45C142B9"/>
    <w:rsid w:val="45C53DA9"/>
    <w:rsid w:val="45CA1218"/>
    <w:rsid w:val="45CC5997"/>
    <w:rsid w:val="45E60AB8"/>
    <w:rsid w:val="45EA5CBC"/>
    <w:rsid w:val="45EF1DAA"/>
    <w:rsid w:val="45EF52CA"/>
    <w:rsid w:val="45F7581E"/>
    <w:rsid w:val="4617475C"/>
    <w:rsid w:val="461849AF"/>
    <w:rsid w:val="4621397D"/>
    <w:rsid w:val="46265D60"/>
    <w:rsid w:val="462B101F"/>
    <w:rsid w:val="462D4024"/>
    <w:rsid w:val="46317F9F"/>
    <w:rsid w:val="46352595"/>
    <w:rsid w:val="46454EEA"/>
    <w:rsid w:val="464E3DDB"/>
    <w:rsid w:val="46560EA5"/>
    <w:rsid w:val="46565DED"/>
    <w:rsid w:val="46576959"/>
    <w:rsid w:val="46577FD6"/>
    <w:rsid w:val="465945D3"/>
    <w:rsid w:val="465C3271"/>
    <w:rsid w:val="46693847"/>
    <w:rsid w:val="466B49E2"/>
    <w:rsid w:val="466B4B8E"/>
    <w:rsid w:val="466F1424"/>
    <w:rsid w:val="467B78CD"/>
    <w:rsid w:val="468042B5"/>
    <w:rsid w:val="4682613E"/>
    <w:rsid w:val="46841EB6"/>
    <w:rsid w:val="4689127A"/>
    <w:rsid w:val="4695346A"/>
    <w:rsid w:val="46957C1F"/>
    <w:rsid w:val="46986D61"/>
    <w:rsid w:val="46992B65"/>
    <w:rsid w:val="46A9114E"/>
    <w:rsid w:val="46B424B1"/>
    <w:rsid w:val="46C4765C"/>
    <w:rsid w:val="46CB74E1"/>
    <w:rsid w:val="46CF0874"/>
    <w:rsid w:val="46D35C42"/>
    <w:rsid w:val="46D70ABF"/>
    <w:rsid w:val="46D955A7"/>
    <w:rsid w:val="46DD0DDA"/>
    <w:rsid w:val="46DF1723"/>
    <w:rsid w:val="46DF6896"/>
    <w:rsid w:val="46E121CE"/>
    <w:rsid w:val="46EA0445"/>
    <w:rsid w:val="46EB6DDB"/>
    <w:rsid w:val="46EB783F"/>
    <w:rsid w:val="46F14CBC"/>
    <w:rsid w:val="46F20235"/>
    <w:rsid w:val="46F30670"/>
    <w:rsid w:val="46FA2F52"/>
    <w:rsid w:val="46FD4E39"/>
    <w:rsid w:val="46FD72FB"/>
    <w:rsid w:val="470832A3"/>
    <w:rsid w:val="471228C6"/>
    <w:rsid w:val="47133957"/>
    <w:rsid w:val="4714323A"/>
    <w:rsid w:val="47196450"/>
    <w:rsid w:val="472B0DAF"/>
    <w:rsid w:val="47345496"/>
    <w:rsid w:val="473573C7"/>
    <w:rsid w:val="47422EBB"/>
    <w:rsid w:val="475D3DD7"/>
    <w:rsid w:val="47636FD9"/>
    <w:rsid w:val="476A0AF5"/>
    <w:rsid w:val="476A535C"/>
    <w:rsid w:val="476B603D"/>
    <w:rsid w:val="476F0987"/>
    <w:rsid w:val="477431B7"/>
    <w:rsid w:val="477719BF"/>
    <w:rsid w:val="478540EA"/>
    <w:rsid w:val="47915EE9"/>
    <w:rsid w:val="47953700"/>
    <w:rsid w:val="479F062A"/>
    <w:rsid w:val="47A07E0C"/>
    <w:rsid w:val="47A132B3"/>
    <w:rsid w:val="47A321F6"/>
    <w:rsid w:val="47B24801"/>
    <w:rsid w:val="47BE6D02"/>
    <w:rsid w:val="47C005C6"/>
    <w:rsid w:val="47CA1DBB"/>
    <w:rsid w:val="47D5548A"/>
    <w:rsid w:val="47D97FDF"/>
    <w:rsid w:val="47F209B3"/>
    <w:rsid w:val="47F24BFD"/>
    <w:rsid w:val="47F71124"/>
    <w:rsid w:val="47F866B8"/>
    <w:rsid w:val="47FC75BB"/>
    <w:rsid w:val="47FE011D"/>
    <w:rsid w:val="4800748B"/>
    <w:rsid w:val="48046FB3"/>
    <w:rsid w:val="4805792A"/>
    <w:rsid w:val="480B5CF3"/>
    <w:rsid w:val="481D611E"/>
    <w:rsid w:val="481F3BCD"/>
    <w:rsid w:val="48205C0E"/>
    <w:rsid w:val="48235019"/>
    <w:rsid w:val="482B6E66"/>
    <w:rsid w:val="4839477F"/>
    <w:rsid w:val="484276C8"/>
    <w:rsid w:val="48651873"/>
    <w:rsid w:val="48671147"/>
    <w:rsid w:val="48677D3A"/>
    <w:rsid w:val="486C396B"/>
    <w:rsid w:val="486E483C"/>
    <w:rsid w:val="4870272E"/>
    <w:rsid w:val="48743864"/>
    <w:rsid w:val="48790BD4"/>
    <w:rsid w:val="488418C4"/>
    <w:rsid w:val="48910ED4"/>
    <w:rsid w:val="4896066F"/>
    <w:rsid w:val="48A26E95"/>
    <w:rsid w:val="48A4321E"/>
    <w:rsid w:val="48A57A00"/>
    <w:rsid w:val="48B9485A"/>
    <w:rsid w:val="48BD58C0"/>
    <w:rsid w:val="48C37111"/>
    <w:rsid w:val="48D07D8C"/>
    <w:rsid w:val="48DD765B"/>
    <w:rsid w:val="48E1034B"/>
    <w:rsid w:val="48E11D82"/>
    <w:rsid w:val="48E649E8"/>
    <w:rsid w:val="48E8790C"/>
    <w:rsid w:val="48F75A96"/>
    <w:rsid w:val="48F86FAC"/>
    <w:rsid w:val="48F96278"/>
    <w:rsid w:val="49043360"/>
    <w:rsid w:val="49063FA7"/>
    <w:rsid w:val="490937F7"/>
    <w:rsid w:val="49194E2F"/>
    <w:rsid w:val="492050D1"/>
    <w:rsid w:val="492B32B4"/>
    <w:rsid w:val="4933617E"/>
    <w:rsid w:val="49376938"/>
    <w:rsid w:val="493965D9"/>
    <w:rsid w:val="49426FAC"/>
    <w:rsid w:val="49470B5C"/>
    <w:rsid w:val="49475CF7"/>
    <w:rsid w:val="49583186"/>
    <w:rsid w:val="49593AC9"/>
    <w:rsid w:val="495C32D8"/>
    <w:rsid w:val="49630931"/>
    <w:rsid w:val="49635DB3"/>
    <w:rsid w:val="496968D8"/>
    <w:rsid w:val="496E4757"/>
    <w:rsid w:val="49727B46"/>
    <w:rsid w:val="49752C0D"/>
    <w:rsid w:val="4976382D"/>
    <w:rsid w:val="497E26A7"/>
    <w:rsid w:val="497F3C3B"/>
    <w:rsid w:val="49845D29"/>
    <w:rsid w:val="498520F7"/>
    <w:rsid w:val="49872AD8"/>
    <w:rsid w:val="4989333F"/>
    <w:rsid w:val="498C7127"/>
    <w:rsid w:val="498D7203"/>
    <w:rsid w:val="499024AD"/>
    <w:rsid w:val="499116C5"/>
    <w:rsid w:val="49AD04D8"/>
    <w:rsid w:val="49BB3993"/>
    <w:rsid w:val="49DA3B9B"/>
    <w:rsid w:val="49DC7715"/>
    <w:rsid w:val="49E5364F"/>
    <w:rsid w:val="49E8544A"/>
    <w:rsid w:val="49EC3FFA"/>
    <w:rsid w:val="49F0701C"/>
    <w:rsid w:val="49F82C8F"/>
    <w:rsid w:val="49FB248F"/>
    <w:rsid w:val="4A0130D6"/>
    <w:rsid w:val="4A023139"/>
    <w:rsid w:val="4A080708"/>
    <w:rsid w:val="4A113A61"/>
    <w:rsid w:val="4A152204"/>
    <w:rsid w:val="4A19332D"/>
    <w:rsid w:val="4A1C6ECD"/>
    <w:rsid w:val="4A204A92"/>
    <w:rsid w:val="4A273284"/>
    <w:rsid w:val="4A2A1E94"/>
    <w:rsid w:val="4A3573F5"/>
    <w:rsid w:val="4A363F5C"/>
    <w:rsid w:val="4A39083D"/>
    <w:rsid w:val="4A396D99"/>
    <w:rsid w:val="4A3E5CF4"/>
    <w:rsid w:val="4A4A0DE5"/>
    <w:rsid w:val="4A4C01EB"/>
    <w:rsid w:val="4A58343D"/>
    <w:rsid w:val="4A766879"/>
    <w:rsid w:val="4A7B576F"/>
    <w:rsid w:val="4A7F1320"/>
    <w:rsid w:val="4A8661FC"/>
    <w:rsid w:val="4A882C04"/>
    <w:rsid w:val="4A9077DB"/>
    <w:rsid w:val="4A981A8C"/>
    <w:rsid w:val="4A9A4385"/>
    <w:rsid w:val="4AAC040A"/>
    <w:rsid w:val="4ABC1C98"/>
    <w:rsid w:val="4AC75534"/>
    <w:rsid w:val="4AD35D50"/>
    <w:rsid w:val="4AE13549"/>
    <w:rsid w:val="4AE46002"/>
    <w:rsid w:val="4AE85461"/>
    <w:rsid w:val="4AF34F14"/>
    <w:rsid w:val="4AF561A9"/>
    <w:rsid w:val="4AFC0176"/>
    <w:rsid w:val="4B0009B3"/>
    <w:rsid w:val="4B053FF8"/>
    <w:rsid w:val="4B076E6E"/>
    <w:rsid w:val="4B0C654A"/>
    <w:rsid w:val="4B12430D"/>
    <w:rsid w:val="4B1B26BD"/>
    <w:rsid w:val="4B1B600F"/>
    <w:rsid w:val="4B242456"/>
    <w:rsid w:val="4B28612E"/>
    <w:rsid w:val="4B2B4A6D"/>
    <w:rsid w:val="4B2C48CA"/>
    <w:rsid w:val="4B337D0B"/>
    <w:rsid w:val="4B38326F"/>
    <w:rsid w:val="4B3952BD"/>
    <w:rsid w:val="4B3A2B43"/>
    <w:rsid w:val="4B43139A"/>
    <w:rsid w:val="4B541424"/>
    <w:rsid w:val="4B577B99"/>
    <w:rsid w:val="4B5A2B48"/>
    <w:rsid w:val="4B5C2C56"/>
    <w:rsid w:val="4B664542"/>
    <w:rsid w:val="4B6C05AC"/>
    <w:rsid w:val="4B6D116B"/>
    <w:rsid w:val="4B6E6E6D"/>
    <w:rsid w:val="4B703CA6"/>
    <w:rsid w:val="4B750607"/>
    <w:rsid w:val="4B766B44"/>
    <w:rsid w:val="4B766DE7"/>
    <w:rsid w:val="4B7A3E19"/>
    <w:rsid w:val="4B7B2BBB"/>
    <w:rsid w:val="4B8370B7"/>
    <w:rsid w:val="4B880688"/>
    <w:rsid w:val="4B8E10E1"/>
    <w:rsid w:val="4B941EBE"/>
    <w:rsid w:val="4BA671EA"/>
    <w:rsid w:val="4BAE52DF"/>
    <w:rsid w:val="4BB46D99"/>
    <w:rsid w:val="4BC949E2"/>
    <w:rsid w:val="4BCA0704"/>
    <w:rsid w:val="4BD167EA"/>
    <w:rsid w:val="4BD6583E"/>
    <w:rsid w:val="4BDB1D3A"/>
    <w:rsid w:val="4BE22B21"/>
    <w:rsid w:val="4BE551A5"/>
    <w:rsid w:val="4BE62AB9"/>
    <w:rsid w:val="4C000AC4"/>
    <w:rsid w:val="4C0C0568"/>
    <w:rsid w:val="4C1944FE"/>
    <w:rsid w:val="4C2155D2"/>
    <w:rsid w:val="4C2912C0"/>
    <w:rsid w:val="4C2E611D"/>
    <w:rsid w:val="4C3333EE"/>
    <w:rsid w:val="4C355669"/>
    <w:rsid w:val="4C373527"/>
    <w:rsid w:val="4C390D31"/>
    <w:rsid w:val="4C3C4829"/>
    <w:rsid w:val="4C4023DB"/>
    <w:rsid w:val="4C474103"/>
    <w:rsid w:val="4C4A0649"/>
    <w:rsid w:val="4C5746BA"/>
    <w:rsid w:val="4C717DBA"/>
    <w:rsid w:val="4C7E5ECA"/>
    <w:rsid w:val="4C84459F"/>
    <w:rsid w:val="4C870AC4"/>
    <w:rsid w:val="4C876AA5"/>
    <w:rsid w:val="4C883CD7"/>
    <w:rsid w:val="4C8851AA"/>
    <w:rsid w:val="4C8A18A8"/>
    <w:rsid w:val="4C925007"/>
    <w:rsid w:val="4C972112"/>
    <w:rsid w:val="4C98178E"/>
    <w:rsid w:val="4CA6504A"/>
    <w:rsid w:val="4CA960A8"/>
    <w:rsid w:val="4CAC3568"/>
    <w:rsid w:val="4CAF3511"/>
    <w:rsid w:val="4CB42C72"/>
    <w:rsid w:val="4CB846F1"/>
    <w:rsid w:val="4CB97FE9"/>
    <w:rsid w:val="4CBD793C"/>
    <w:rsid w:val="4CBE1552"/>
    <w:rsid w:val="4CD71572"/>
    <w:rsid w:val="4CDB65A8"/>
    <w:rsid w:val="4CDD3780"/>
    <w:rsid w:val="4CE0171E"/>
    <w:rsid w:val="4CE531A1"/>
    <w:rsid w:val="4CFA7673"/>
    <w:rsid w:val="4CFC3AD3"/>
    <w:rsid w:val="4CFF7381"/>
    <w:rsid w:val="4D055ECB"/>
    <w:rsid w:val="4D097B75"/>
    <w:rsid w:val="4D0E00FB"/>
    <w:rsid w:val="4D0F73C8"/>
    <w:rsid w:val="4D176606"/>
    <w:rsid w:val="4D1813A7"/>
    <w:rsid w:val="4D21045F"/>
    <w:rsid w:val="4D236A10"/>
    <w:rsid w:val="4D241F1D"/>
    <w:rsid w:val="4D2C5A5B"/>
    <w:rsid w:val="4D3471F4"/>
    <w:rsid w:val="4D422183"/>
    <w:rsid w:val="4D4B2579"/>
    <w:rsid w:val="4D4B7289"/>
    <w:rsid w:val="4D4C593F"/>
    <w:rsid w:val="4D4F7907"/>
    <w:rsid w:val="4D537E56"/>
    <w:rsid w:val="4D556C5B"/>
    <w:rsid w:val="4D5A571F"/>
    <w:rsid w:val="4D60614F"/>
    <w:rsid w:val="4D622825"/>
    <w:rsid w:val="4D731BEA"/>
    <w:rsid w:val="4D82763C"/>
    <w:rsid w:val="4DA4464A"/>
    <w:rsid w:val="4DA5278A"/>
    <w:rsid w:val="4DA555C0"/>
    <w:rsid w:val="4DA847FF"/>
    <w:rsid w:val="4DAB68C5"/>
    <w:rsid w:val="4DB82F6E"/>
    <w:rsid w:val="4DBB6920"/>
    <w:rsid w:val="4DBC71D4"/>
    <w:rsid w:val="4DC92DE6"/>
    <w:rsid w:val="4DCA4393"/>
    <w:rsid w:val="4DCB7D7B"/>
    <w:rsid w:val="4DCE39D8"/>
    <w:rsid w:val="4DD23507"/>
    <w:rsid w:val="4DDA677B"/>
    <w:rsid w:val="4DE8665A"/>
    <w:rsid w:val="4DEC4FB0"/>
    <w:rsid w:val="4DF81AA0"/>
    <w:rsid w:val="4DF91DBA"/>
    <w:rsid w:val="4E075D8A"/>
    <w:rsid w:val="4E0A3C76"/>
    <w:rsid w:val="4E102281"/>
    <w:rsid w:val="4E126D25"/>
    <w:rsid w:val="4E173610"/>
    <w:rsid w:val="4E1874E8"/>
    <w:rsid w:val="4E1E7BC1"/>
    <w:rsid w:val="4E210E61"/>
    <w:rsid w:val="4E243831"/>
    <w:rsid w:val="4E26124A"/>
    <w:rsid w:val="4E2E0EDF"/>
    <w:rsid w:val="4E366977"/>
    <w:rsid w:val="4E3D5962"/>
    <w:rsid w:val="4E3E5661"/>
    <w:rsid w:val="4E421BF8"/>
    <w:rsid w:val="4E471CE7"/>
    <w:rsid w:val="4E510398"/>
    <w:rsid w:val="4E530AEE"/>
    <w:rsid w:val="4E5936E7"/>
    <w:rsid w:val="4E6A0D1F"/>
    <w:rsid w:val="4E74636C"/>
    <w:rsid w:val="4E7B00EE"/>
    <w:rsid w:val="4E7C0548"/>
    <w:rsid w:val="4E8862BB"/>
    <w:rsid w:val="4E8E0DED"/>
    <w:rsid w:val="4E9207DD"/>
    <w:rsid w:val="4E920EE8"/>
    <w:rsid w:val="4E96019C"/>
    <w:rsid w:val="4E9A1076"/>
    <w:rsid w:val="4EA834C0"/>
    <w:rsid w:val="4EB038E4"/>
    <w:rsid w:val="4EB201ED"/>
    <w:rsid w:val="4EB64BD7"/>
    <w:rsid w:val="4EB96B27"/>
    <w:rsid w:val="4EBC3281"/>
    <w:rsid w:val="4EC00FAD"/>
    <w:rsid w:val="4EC11036"/>
    <w:rsid w:val="4EC45D39"/>
    <w:rsid w:val="4ECA2430"/>
    <w:rsid w:val="4ED236C7"/>
    <w:rsid w:val="4EDE052E"/>
    <w:rsid w:val="4EDE59E4"/>
    <w:rsid w:val="4EE216BF"/>
    <w:rsid w:val="4EE819B9"/>
    <w:rsid w:val="4EE846DA"/>
    <w:rsid w:val="4EEA1394"/>
    <w:rsid w:val="4F035942"/>
    <w:rsid w:val="4F0A1362"/>
    <w:rsid w:val="4F142844"/>
    <w:rsid w:val="4F18319B"/>
    <w:rsid w:val="4F1A2EBA"/>
    <w:rsid w:val="4F211FAE"/>
    <w:rsid w:val="4F34376D"/>
    <w:rsid w:val="4F345424"/>
    <w:rsid w:val="4F462F4E"/>
    <w:rsid w:val="4F48032F"/>
    <w:rsid w:val="4F4A5326"/>
    <w:rsid w:val="4F534B5E"/>
    <w:rsid w:val="4F547766"/>
    <w:rsid w:val="4F59565C"/>
    <w:rsid w:val="4F5A681A"/>
    <w:rsid w:val="4F6178F6"/>
    <w:rsid w:val="4F622668"/>
    <w:rsid w:val="4F6B6DFE"/>
    <w:rsid w:val="4F6D3D4E"/>
    <w:rsid w:val="4F6D5BD3"/>
    <w:rsid w:val="4F6E6CDC"/>
    <w:rsid w:val="4F7C5E20"/>
    <w:rsid w:val="4F803B3C"/>
    <w:rsid w:val="4F826F8A"/>
    <w:rsid w:val="4F8A1281"/>
    <w:rsid w:val="4F953350"/>
    <w:rsid w:val="4F982FCA"/>
    <w:rsid w:val="4F9843DC"/>
    <w:rsid w:val="4F9B0FC8"/>
    <w:rsid w:val="4FA03A15"/>
    <w:rsid w:val="4FA90297"/>
    <w:rsid w:val="4FAB4608"/>
    <w:rsid w:val="4FAD3295"/>
    <w:rsid w:val="4FAD5FDA"/>
    <w:rsid w:val="4FB83DF6"/>
    <w:rsid w:val="4FBB53A3"/>
    <w:rsid w:val="4FC5650C"/>
    <w:rsid w:val="4FC62A8C"/>
    <w:rsid w:val="4FD22886"/>
    <w:rsid w:val="4FE20F0D"/>
    <w:rsid w:val="4FE51552"/>
    <w:rsid w:val="4FE91937"/>
    <w:rsid w:val="4FF76F07"/>
    <w:rsid w:val="4FF84C04"/>
    <w:rsid w:val="50013812"/>
    <w:rsid w:val="50045DA0"/>
    <w:rsid w:val="50051A85"/>
    <w:rsid w:val="500A342C"/>
    <w:rsid w:val="50125AC1"/>
    <w:rsid w:val="50355FCF"/>
    <w:rsid w:val="503C4769"/>
    <w:rsid w:val="503F29AA"/>
    <w:rsid w:val="504C3F60"/>
    <w:rsid w:val="50504C4B"/>
    <w:rsid w:val="50524035"/>
    <w:rsid w:val="5052576B"/>
    <w:rsid w:val="50575F45"/>
    <w:rsid w:val="50585BA7"/>
    <w:rsid w:val="505B2A5E"/>
    <w:rsid w:val="5061474D"/>
    <w:rsid w:val="50621790"/>
    <w:rsid w:val="5065423A"/>
    <w:rsid w:val="50682379"/>
    <w:rsid w:val="506B4720"/>
    <w:rsid w:val="50713383"/>
    <w:rsid w:val="507A1C34"/>
    <w:rsid w:val="508154D9"/>
    <w:rsid w:val="50940E0F"/>
    <w:rsid w:val="509C4918"/>
    <w:rsid w:val="509C6E7C"/>
    <w:rsid w:val="50A00F88"/>
    <w:rsid w:val="50A031CF"/>
    <w:rsid w:val="50A05B3E"/>
    <w:rsid w:val="50A218B6"/>
    <w:rsid w:val="50A75B2D"/>
    <w:rsid w:val="50A77694"/>
    <w:rsid w:val="50B11AF9"/>
    <w:rsid w:val="50BC65C3"/>
    <w:rsid w:val="50CE40AF"/>
    <w:rsid w:val="50CE528A"/>
    <w:rsid w:val="50D365CE"/>
    <w:rsid w:val="50E71014"/>
    <w:rsid w:val="50F119A3"/>
    <w:rsid w:val="50F24F36"/>
    <w:rsid w:val="50FC089B"/>
    <w:rsid w:val="50FC37C6"/>
    <w:rsid w:val="51002139"/>
    <w:rsid w:val="5104043F"/>
    <w:rsid w:val="510A7A97"/>
    <w:rsid w:val="510F05CE"/>
    <w:rsid w:val="510F390F"/>
    <w:rsid w:val="5121026E"/>
    <w:rsid w:val="51234079"/>
    <w:rsid w:val="51244B35"/>
    <w:rsid w:val="51397B45"/>
    <w:rsid w:val="514F75B7"/>
    <w:rsid w:val="515332C1"/>
    <w:rsid w:val="51562B56"/>
    <w:rsid w:val="51587649"/>
    <w:rsid w:val="515F22E6"/>
    <w:rsid w:val="51620E23"/>
    <w:rsid w:val="5162104E"/>
    <w:rsid w:val="51634F6B"/>
    <w:rsid w:val="51682CAF"/>
    <w:rsid w:val="516C75B3"/>
    <w:rsid w:val="517D5E7F"/>
    <w:rsid w:val="517F2894"/>
    <w:rsid w:val="51833BE4"/>
    <w:rsid w:val="5189048A"/>
    <w:rsid w:val="518965D2"/>
    <w:rsid w:val="51905BB3"/>
    <w:rsid w:val="519303BD"/>
    <w:rsid w:val="51936CEA"/>
    <w:rsid w:val="519436DB"/>
    <w:rsid w:val="519565F1"/>
    <w:rsid w:val="51984A67"/>
    <w:rsid w:val="51A14266"/>
    <w:rsid w:val="51A21E30"/>
    <w:rsid w:val="51A8611F"/>
    <w:rsid w:val="51B01DB1"/>
    <w:rsid w:val="51B62895"/>
    <w:rsid w:val="51B86EB8"/>
    <w:rsid w:val="51C31B8A"/>
    <w:rsid w:val="51C35D8F"/>
    <w:rsid w:val="51C465DF"/>
    <w:rsid w:val="51E1468C"/>
    <w:rsid w:val="51E42C2F"/>
    <w:rsid w:val="51F54F60"/>
    <w:rsid w:val="51F91EE7"/>
    <w:rsid w:val="51FF03B0"/>
    <w:rsid w:val="520827B2"/>
    <w:rsid w:val="52131074"/>
    <w:rsid w:val="526B1293"/>
    <w:rsid w:val="526C4B10"/>
    <w:rsid w:val="526D3FF0"/>
    <w:rsid w:val="5278292E"/>
    <w:rsid w:val="527B7036"/>
    <w:rsid w:val="52836930"/>
    <w:rsid w:val="52860984"/>
    <w:rsid w:val="528F34E7"/>
    <w:rsid w:val="528F7D37"/>
    <w:rsid w:val="529A036B"/>
    <w:rsid w:val="529E7E5B"/>
    <w:rsid w:val="52AA5F40"/>
    <w:rsid w:val="52AF2069"/>
    <w:rsid w:val="52B70F1D"/>
    <w:rsid w:val="52B863F8"/>
    <w:rsid w:val="52C420A2"/>
    <w:rsid w:val="52C6671C"/>
    <w:rsid w:val="52CF3B75"/>
    <w:rsid w:val="52E911AD"/>
    <w:rsid w:val="52F41CAD"/>
    <w:rsid w:val="52FC4CF3"/>
    <w:rsid w:val="53010C0D"/>
    <w:rsid w:val="53054F74"/>
    <w:rsid w:val="530D0FB2"/>
    <w:rsid w:val="5310606C"/>
    <w:rsid w:val="53195734"/>
    <w:rsid w:val="53197D29"/>
    <w:rsid w:val="531B42E8"/>
    <w:rsid w:val="531E09DA"/>
    <w:rsid w:val="532E11CB"/>
    <w:rsid w:val="53431642"/>
    <w:rsid w:val="535042B0"/>
    <w:rsid w:val="53510BA8"/>
    <w:rsid w:val="535229DE"/>
    <w:rsid w:val="53577F45"/>
    <w:rsid w:val="535C5B0A"/>
    <w:rsid w:val="535D6100"/>
    <w:rsid w:val="53746A12"/>
    <w:rsid w:val="53772083"/>
    <w:rsid w:val="53823C8B"/>
    <w:rsid w:val="538A1CB7"/>
    <w:rsid w:val="53994CFB"/>
    <w:rsid w:val="539A6862"/>
    <w:rsid w:val="53A039CC"/>
    <w:rsid w:val="53A07F31"/>
    <w:rsid w:val="53A1505A"/>
    <w:rsid w:val="53A86B79"/>
    <w:rsid w:val="53B3523E"/>
    <w:rsid w:val="53B3736C"/>
    <w:rsid w:val="53B41AA9"/>
    <w:rsid w:val="53B73DC2"/>
    <w:rsid w:val="53C45BB5"/>
    <w:rsid w:val="53C960CE"/>
    <w:rsid w:val="53CE651E"/>
    <w:rsid w:val="53D9101E"/>
    <w:rsid w:val="53D91BD8"/>
    <w:rsid w:val="53E15594"/>
    <w:rsid w:val="53E938BB"/>
    <w:rsid w:val="53EC39B6"/>
    <w:rsid w:val="53F26611"/>
    <w:rsid w:val="53F50FB8"/>
    <w:rsid w:val="54063E08"/>
    <w:rsid w:val="54197EBB"/>
    <w:rsid w:val="542040AE"/>
    <w:rsid w:val="542A5CD1"/>
    <w:rsid w:val="542C3448"/>
    <w:rsid w:val="542F200C"/>
    <w:rsid w:val="54310FF1"/>
    <w:rsid w:val="543132D7"/>
    <w:rsid w:val="543437E8"/>
    <w:rsid w:val="5436680D"/>
    <w:rsid w:val="543C5B7E"/>
    <w:rsid w:val="543E18F6"/>
    <w:rsid w:val="544867C8"/>
    <w:rsid w:val="544B2ED1"/>
    <w:rsid w:val="544E3303"/>
    <w:rsid w:val="54534C36"/>
    <w:rsid w:val="54534C76"/>
    <w:rsid w:val="545B1020"/>
    <w:rsid w:val="545F7ABE"/>
    <w:rsid w:val="547C3489"/>
    <w:rsid w:val="547D0C43"/>
    <w:rsid w:val="54A250ED"/>
    <w:rsid w:val="54BD7DA3"/>
    <w:rsid w:val="54C4058F"/>
    <w:rsid w:val="54CB5BC0"/>
    <w:rsid w:val="54CC37F8"/>
    <w:rsid w:val="54D252B2"/>
    <w:rsid w:val="54DE5B26"/>
    <w:rsid w:val="54DE6DCA"/>
    <w:rsid w:val="54EA07D2"/>
    <w:rsid w:val="54EA4076"/>
    <w:rsid w:val="54EC50F1"/>
    <w:rsid w:val="54ED1AED"/>
    <w:rsid w:val="54F73313"/>
    <w:rsid w:val="54F80955"/>
    <w:rsid w:val="54FE1085"/>
    <w:rsid w:val="54FE2E49"/>
    <w:rsid w:val="55025403"/>
    <w:rsid w:val="551B7306"/>
    <w:rsid w:val="552A59D6"/>
    <w:rsid w:val="55406CF6"/>
    <w:rsid w:val="554116EC"/>
    <w:rsid w:val="55466588"/>
    <w:rsid w:val="555170A7"/>
    <w:rsid w:val="5553173A"/>
    <w:rsid w:val="555533CB"/>
    <w:rsid w:val="55574C46"/>
    <w:rsid w:val="555B65BC"/>
    <w:rsid w:val="55652EB2"/>
    <w:rsid w:val="5574779A"/>
    <w:rsid w:val="557B16CB"/>
    <w:rsid w:val="557C1FAA"/>
    <w:rsid w:val="5587536D"/>
    <w:rsid w:val="558B347B"/>
    <w:rsid w:val="55970FE6"/>
    <w:rsid w:val="559B174B"/>
    <w:rsid w:val="559E5627"/>
    <w:rsid w:val="55A14E91"/>
    <w:rsid w:val="55C70A96"/>
    <w:rsid w:val="55C73B6D"/>
    <w:rsid w:val="55C77CC9"/>
    <w:rsid w:val="55CE0A58"/>
    <w:rsid w:val="55CE0CF4"/>
    <w:rsid w:val="55CF2F3A"/>
    <w:rsid w:val="55E33EDE"/>
    <w:rsid w:val="55E51556"/>
    <w:rsid w:val="55E534F8"/>
    <w:rsid w:val="55F271FA"/>
    <w:rsid w:val="55FE2F75"/>
    <w:rsid w:val="56087A55"/>
    <w:rsid w:val="5614385C"/>
    <w:rsid w:val="562656F9"/>
    <w:rsid w:val="5627558A"/>
    <w:rsid w:val="56276315"/>
    <w:rsid w:val="56277406"/>
    <w:rsid w:val="562A4E7E"/>
    <w:rsid w:val="563F1955"/>
    <w:rsid w:val="564359AF"/>
    <w:rsid w:val="564E5188"/>
    <w:rsid w:val="565757CE"/>
    <w:rsid w:val="56581F21"/>
    <w:rsid w:val="565D5793"/>
    <w:rsid w:val="56626C66"/>
    <w:rsid w:val="56626E8C"/>
    <w:rsid w:val="56662AAF"/>
    <w:rsid w:val="566D05AD"/>
    <w:rsid w:val="568236EE"/>
    <w:rsid w:val="568A56A7"/>
    <w:rsid w:val="56935C48"/>
    <w:rsid w:val="56984096"/>
    <w:rsid w:val="569F6292"/>
    <w:rsid w:val="56A1014A"/>
    <w:rsid w:val="56A662C6"/>
    <w:rsid w:val="56AF4567"/>
    <w:rsid w:val="56B22A9C"/>
    <w:rsid w:val="56B25ADE"/>
    <w:rsid w:val="56B457BF"/>
    <w:rsid w:val="56B6433B"/>
    <w:rsid w:val="56C67981"/>
    <w:rsid w:val="56C71DD1"/>
    <w:rsid w:val="56CB143B"/>
    <w:rsid w:val="56CC7DF7"/>
    <w:rsid w:val="56D60478"/>
    <w:rsid w:val="56F70FF1"/>
    <w:rsid w:val="56FA7D8D"/>
    <w:rsid w:val="56FB03ED"/>
    <w:rsid w:val="56FE540A"/>
    <w:rsid w:val="56FF616A"/>
    <w:rsid w:val="570205FA"/>
    <w:rsid w:val="57044D73"/>
    <w:rsid w:val="57087F02"/>
    <w:rsid w:val="570E75E7"/>
    <w:rsid w:val="57160908"/>
    <w:rsid w:val="571D30C3"/>
    <w:rsid w:val="57227755"/>
    <w:rsid w:val="57266671"/>
    <w:rsid w:val="57280116"/>
    <w:rsid w:val="572F3A31"/>
    <w:rsid w:val="573B7047"/>
    <w:rsid w:val="573E0DC8"/>
    <w:rsid w:val="573F4596"/>
    <w:rsid w:val="574658BC"/>
    <w:rsid w:val="574E4904"/>
    <w:rsid w:val="57555448"/>
    <w:rsid w:val="577E46FF"/>
    <w:rsid w:val="5782370C"/>
    <w:rsid w:val="57833372"/>
    <w:rsid w:val="5786197A"/>
    <w:rsid w:val="578D3F95"/>
    <w:rsid w:val="57966501"/>
    <w:rsid w:val="5797470C"/>
    <w:rsid w:val="579D4846"/>
    <w:rsid w:val="57A43A42"/>
    <w:rsid w:val="57AC76D0"/>
    <w:rsid w:val="57AE10D0"/>
    <w:rsid w:val="57B027E4"/>
    <w:rsid w:val="57B72A76"/>
    <w:rsid w:val="57C3426C"/>
    <w:rsid w:val="57C43DAA"/>
    <w:rsid w:val="57C70701"/>
    <w:rsid w:val="57CA6C61"/>
    <w:rsid w:val="57CE1F93"/>
    <w:rsid w:val="57CF4B7D"/>
    <w:rsid w:val="57D429E9"/>
    <w:rsid w:val="57EB77B8"/>
    <w:rsid w:val="57F2443B"/>
    <w:rsid w:val="57F400A5"/>
    <w:rsid w:val="57F650A7"/>
    <w:rsid w:val="58044C05"/>
    <w:rsid w:val="5809207B"/>
    <w:rsid w:val="58093B23"/>
    <w:rsid w:val="58112E7E"/>
    <w:rsid w:val="58143E46"/>
    <w:rsid w:val="5816769B"/>
    <w:rsid w:val="58227A79"/>
    <w:rsid w:val="58295C8C"/>
    <w:rsid w:val="5841096D"/>
    <w:rsid w:val="584A7919"/>
    <w:rsid w:val="58511E8F"/>
    <w:rsid w:val="585D482F"/>
    <w:rsid w:val="58696B71"/>
    <w:rsid w:val="586A53D3"/>
    <w:rsid w:val="587744EE"/>
    <w:rsid w:val="58780033"/>
    <w:rsid w:val="5878075B"/>
    <w:rsid w:val="58791ABD"/>
    <w:rsid w:val="588743D1"/>
    <w:rsid w:val="5887701A"/>
    <w:rsid w:val="588E0972"/>
    <w:rsid w:val="589A3ECF"/>
    <w:rsid w:val="58AB3C87"/>
    <w:rsid w:val="58AD70D7"/>
    <w:rsid w:val="58B303D9"/>
    <w:rsid w:val="58BC6C04"/>
    <w:rsid w:val="58BD7CAC"/>
    <w:rsid w:val="58C9681A"/>
    <w:rsid w:val="58DA5965"/>
    <w:rsid w:val="58DB24F3"/>
    <w:rsid w:val="58DD21EE"/>
    <w:rsid w:val="58E965BE"/>
    <w:rsid w:val="58F065FA"/>
    <w:rsid w:val="58FA4FF6"/>
    <w:rsid w:val="590307A9"/>
    <w:rsid w:val="590E3E2D"/>
    <w:rsid w:val="592117E6"/>
    <w:rsid w:val="592C6219"/>
    <w:rsid w:val="593313D7"/>
    <w:rsid w:val="594554D5"/>
    <w:rsid w:val="596841EB"/>
    <w:rsid w:val="596E62C5"/>
    <w:rsid w:val="59700BD7"/>
    <w:rsid w:val="59720DBF"/>
    <w:rsid w:val="597731B4"/>
    <w:rsid w:val="59792170"/>
    <w:rsid w:val="59867453"/>
    <w:rsid w:val="598A2EE8"/>
    <w:rsid w:val="598F49A2"/>
    <w:rsid w:val="599A4EB7"/>
    <w:rsid w:val="59A044B9"/>
    <w:rsid w:val="59B14918"/>
    <w:rsid w:val="59B149D6"/>
    <w:rsid w:val="59B85CA7"/>
    <w:rsid w:val="59C0439F"/>
    <w:rsid w:val="59D56D0E"/>
    <w:rsid w:val="59D7792A"/>
    <w:rsid w:val="59DB1995"/>
    <w:rsid w:val="59F35875"/>
    <w:rsid w:val="5A111575"/>
    <w:rsid w:val="5A1A6777"/>
    <w:rsid w:val="5A1C1C9A"/>
    <w:rsid w:val="5A1F0DB3"/>
    <w:rsid w:val="5A27361D"/>
    <w:rsid w:val="5A2B3A4E"/>
    <w:rsid w:val="5A3612C1"/>
    <w:rsid w:val="5A37350C"/>
    <w:rsid w:val="5A4A42CC"/>
    <w:rsid w:val="5A5273B1"/>
    <w:rsid w:val="5A53522D"/>
    <w:rsid w:val="5A552241"/>
    <w:rsid w:val="5A5737CE"/>
    <w:rsid w:val="5A602F02"/>
    <w:rsid w:val="5A6046DF"/>
    <w:rsid w:val="5A6B67CF"/>
    <w:rsid w:val="5A7924F2"/>
    <w:rsid w:val="5A7B0A82"/>
    <w:rsid w:val="5A7D0B31"/>
    <w:rsid w:val="5A8D7133"/>
    <w:rsid w:val="5A911DCC"/>
    <w:rsid w:val="5A914D86"/>
    <w:rsid w:val="5A951CCF"/>
    <w:rsid w:val="5A9720C6"/>
    <w:rsid w:val="5AA9048E"/>
    <w:rsid w:val="5AB354EC"/>
    <w:rsid w:val="5AB87F28"/>
    <w:rsid w:val="5ABE2233"/>
    <w:rsid w:val="5AC41AB5"/>
    <w:rsid w:val="5AD563E4"/>
    <w:rsid w:val="5ADF1011"/>
    <w:rsid w:val="5AF14A4D"/>
    <w:rsid w:val="5AF44A67"/>
    <w:rsid w:val="5AFA2A1D"/>
    <w:rsid w:val="5B0009C3"/>
    <w:rsid w:val="5B030A64"/>
    <w:rsid w:val="5B074F90"/>
    <w:rsid w:val="5B152C85"/>
    <w:rsid w:val="5B1D2F55"/>
    <w:rsid w:val="5B213E11"/>
    <w:rsid w:val="5B2243BA"/>
    <w:rsid w:val="5B2829B8"/>
    <w:rsid w:val="5B295472"/>
    <w:rsid w:val="5B2F5312"/>
    <w:rsid w:val="5B3167DC"/>
    <w:rsid w:val="5B325681"/>
    <w:rsid w:val="5B3752F1"/>
    <w:rsid w:val="5B384F88"/>
    <w:rsid w:val="5B386973"/>
    <w:rsid w:val="5B3E6761"/>
    <w:rsid w:val="5B4F43CF"/>
    <w:rsid w:val="5B5512D5"/>
    <w:rsid w:val="5B56726F"/>
    <w:rsid w:val="5B5732FF"/>
    <w:rsid w:val="5B577803"/>
    <w:rsid w:val="5B647768"/>
    <w:rsid w:val="5B7309D3"/>
    <w:rsid w:val="5B7F3E53"/>
    <w:rsid w:val="5B8877CF"/>
    <w:rsid w:val="5B9067AF"/>
    <w:rsid w:val="5B980B1D"/>
    <w:rsid w:val="5B9B70D6"/>
    <w:rsid w:val="5B9E49E3"/>
    <w:rsid w:val="5BA05DF9"/>
    <w:rsid w:val="5BA93047"/>
    <w:rsid w:val="5BB16968"/>
    <w:rsid w:val="5BB17484"/>
    <w:rsid w:val="5BB64468"/>
    <w:rsid w:val="5BC759AC"/>
    <w:rsid w:val="5BDA0AB4"/>
    <w:rsid w:val="5BDA509D"/>
    <w:rsid w:val="5BDD664E"/>
    <w:rsid w:val="5BDF5D95"/>
    <w:rsid w:val="5BE27381"/>
    <w:rsid w:val="5BED09D6"/>
    <w:rsid w:val="5BF20235"/>
    <w:rsid w:val="5BFE7528"/>
    <w:rsid w:val="5BFF371C"/>
    <w:rsid w:val="5C112B95"/>
    <w:rsid w:val="5C157BB5"/>
    <w:rsid w:val="5C1949F7"/>
    <w:rsid w:val="5C1F6484"/>
    <w:rsid w:val="5C203753"/>
    <w:rsid w:val="5C23177E"/>
    <w:rsid w:val="5C2C0286"/>
    <w:rsid w:val="5C315BB2"/>
    <w:rsid w:val="5C367357"/>
    <w:rsid w:val="5C450859"/>
    <w:rsid w:val="5C4557EC"/>
    <w:rsid w:val="5C4B1054"/>
    <w:rsid w:val="5C4D5F0B"/>
    <w:rsid w:val="5C545A2F"/>
    <w:rsid w:val="5C5969DB"/>
    <w:rsid w:val="5C606182"/>
    <w:rsid w:val="5C6B34A4"/>
    <w:rsid w:val="5C6F0EF8"/>
    <w:rsid w:val="5C7D6D34"/>
    <w:rsid w:val="5C853BBC"/>
    <w:rsid w:val="5C853E3A"/>
    <w:rsid w:val="5C8676DD"/>
    <w:rsid w:val="5C936557"/>
    <w:rsid w:val="5C9B0300"/>
    <w:rsid w:val="5C9E085B"/>
    <w:rsid w:val="5CA032D6"/>
    <w:rsid w:val="5CA40764"/>
    <w:rsid w:val="5CAD61D2"/>
    <w:rsid w:val="5CBD2D8D"/>
    <w:rsid w:val="5CBD5D00"/>
    <w:rsid w:val="5CC31B30"/>
    <w:rsid w:val="5CD14844"/>
    <w:rsid w:val="5CE7164E"/>
    <w:rsid w:val="5CE74127"/>
    <w:rsid w:val="5CEA21BB"/>
    <w:rsid w:val="5CF3362E"/>
    <w:rsid w:val="5CF43662"/>
    <w:rsid w:val="5CFD1C1F"/>
    <w:rsid w:val="5D002707"/>
    <w:rsid w:val="5D033FCA"/>
    <w:rsid w:val="5D05274B"/>
    <w:rsid w:val="5D0B0DC9"/>
    <w:rsid w:val="5D0B1808"/>
    <w:rsid w:val="5D0B433F"/>
    <w:rsid w:val="5D186EDC"/>
    <w:rsid w:val="5D1A01FA"/>
    <w:rsid w:val="5D1F6534"/>
    <w:rsid w:val="5D1F692C"/>
    <w:rsid w:val="5D205AB5"/>
    <w:rsid w:val="5D290205"/>
    <w:rsid w:val="5D4A130C"/>
    <w:rsid w:val="5D4B0394"/>
    <w:rsid w:val="5D4C05A1"/>
    <w:rsid w:val="5D5B5135"/>
    <w:rsid w:val="5D735D16"/>
    <w:rsid w:val="5D741271"/>
    <w:rsid w:val="5D7E2CA5"/>
    <w:rsid w:val="5D800525"/>
    <w:rsid w:val="5D804D86"/>
    <w:rsid w:val="5D81726D"/>
    <w:rsid w:val="5D8A19BF"/>
    <w:rsid w:val="5D9500AD"/>
    <w:rsid w:val="5D9F668F"/>
    <w:rsid w:val="5DA360BE"/>
    <w:rsid w:val="5DA773CC"/>
    <w:rsid w:val="5DA83E04"/>
    <w:rsid w:val="5DB1138B"/>
    <w:rsid w:val="5DB42C29"/>
    <w:rsid w:val="5DB525A7"/>
    <w:rsid w:val="5DBE3624"/>
    <w:rsid w:val="5DC170F4"/>
    <w:rsid w:val="5DCD2FC2"/>
    <w:rsid w:val="5DDC0462"/>
    <w:rsid w:val="5DE3706A"/>
    <w:rsid w:val="5DF4220A"/>
    <w:rsid w:val="5DFA1D1B"/>
    <w:rsid w:val="5E021BE6"/>
    <w:rsid w:val="5E0A15FD"/>
    <w:rsid w:val="5E0B4F0F"/>
    <w:rsid w:val="5E1A26FC"/>
    <w:rsid w:val="5E1E4546"/>
    <w:rsid w:val="5E23390B"/>
    <w:rsid w:val="5E2467F1"/>
    <w:rsid w:val="5E26353E"/>
    <w:rsid w:val="5E280A36"/>
    <w:rsid w:val="5E420235"/>
    <w:rsid w:val="5E4E3EFF"/>
    <w:rsid w:val="5E532442"/>
    <w:rsid w:val="5E547F68"/>
    <w:rsid w:val="5E576CC9"/>
    <w:rsid w:val="5E5C6373"/>
    <w:rsid w:val="5E5F5A24"/>
    <w:rsid w:val="5E627107"/>
    <w:rsid w:val="5E8C4EA3"/>
    <w:rsid w:val="5E8D2C75"/>
    <w:rsid w:val="5E8E321F"/>
    <w:rsid w:val="5E91748B"/>
    <w:rsid w:val="5E931D52"/>
    <w:rsid w:val="5E962946"/>
    <w:rsid w:val="5EA0499B"/>
    <w:rsid w:val="5EAB5120"/>
    <w:rsid w:val="5EB431E3"/>
    <w:rsid w:val="5EBA426F"/>
    <w:rsid w:val="5EBB0640"/>
    <w:rsid w:val="5EBD54D3"/>
    <w:rsid w:val="5EBF55EA"/>
    <w:rsid w:val="5ED253E2"/>
    <w:rsid w:val="5ED65CB0"/>
    <w:rsid w:val="5EF667F8"/>
    <w:rsid w:val="5EFD30AE"/>
    <w:rsid w:val="5F035E18"/>
    <w:rsid w:val="5F093C5B"/>
    <w:rsid w:val="5F093DAB"/>
    <w:rsid w:val="5F1A2B43"/>
    <w:rsid w:val="5F22030F"/>
    <w:rsid w:val="5F2711D9"/>
    <w:rsid w:val="5F28567D"/>
    <w:rsid w:val="5F357D99"/>
    <w:rsid w:val="5F390C31"/>
    <w:rsid w:val="5F3C4C84"/>
    <w:rsid w:val="5F58712D"/>
    <w:rsid w:val="5F5E59BF"/>
    <w:rsid w:val="5F5F4E16"/>
    <w:rsid w:val="5F5F6BC4"/>
    <w:rsid w:val="5F645F89"/>
    <w:rsid w:val="5F746C09"/>
    <w:rsid w:val="5F752164"/>
    <w:rsid w:val="5F7A15FC"/>
    <w:rsid w:val="5F804DFD"/>
    <w:rsid w:val="5F9A4FE9"/>
    <w:rsid w:val="5FA200A9"/>
    <w:rsid w:val="5FAE5957"/>
    <w:rsid w:val="5FB32A6C"/>
    <w:rsid w:val="5FB43FC7"/>
    <w:rsid w:val="5FB666B3"/>
    <w:rsid w:val="5FB837BB"/>
    <w:rsid w:val="5FC234CB"/>
    <w:rsid w:val="5FCD1E61"/>
    <w:rsid w:val="5FCE7F95"/>
    <w:rsid w:val="5FCF78A6"/>
    <w:rsid w:val="5FD1213D"/>
    <w:rsid w:val="5FD255E8"/>
    <w:rsid w:val="5FD61A3F"/>
    <w:rsid w:val="5FFE1F39"/>
    <w:rsid w:val="60055BDF"/>
    <w:rsid w:val="60072722"/>
    <w:rsid w:val="60252BAF"/>
    <w:rsid w:val="602A71D2"/>
    <w:rsid w:val="60357094"/>
    <w:rsid w:val="604135AB"/>
    <w:rsid w:val="60426DF1"/>
    <w:rsid w:val="6056075E"/>
    <w:rsid w:val="60680C1C"/>
    <w:rsid w:val="6070407A"/>
    <w:rsid w:val="607273FF"/>
    <w:rsid w:val="607B1582"/>
    <w:rsid w:val="60803296"/>
    <w:rsid w:val="60854577"/>
    <w:rsid w:val="608A5EC3"/>
    <w:rsid w:val="608F7035"/>
    <w:rsid w:val="60945382"/>
    <w:rsid w:val="609554E9"/>
    <w:rsid w:val="60970006"/>
    <w:rsid w:val="609805E0"/>
    <w:rsid w:val="609A6C24"/>
    <w:rsid w:val="609D1752"/>
    <w:rsid w:val="60A53B95"/>
    <w:rsid w:val="60AE53B6"/>
    <w:rsid w:val="60BE5169"/>
    <w:rsid w:val="60C30004"/>
    <w:rsid w:val="60C55D5A"/>
    <w:rsid w:val="60C802B5"/>
    <w:rsid w:val="60CC405A"/>
    <w:rsid w:val="60D01942"/>
    <w:rsid w:val="60D13AF2"/>
    <w:rsid w:val="60DD263B"/>
    <w:rsid w:val="60E224A0"/>
    <w:rsid w:val="60E23B17"/>
    <w:rsid w:val="60E54C5E"/>
    <w:rsid w:val="60E60848"/>
    <w:rsid w:val="60E74DDF"/>
    <w:rsid w:val="60E77D27"/>
    <w:rsid w:val="60E92472"/>
    <w:rsid w:val="60F20F1A"/>
    <w:rsid w:val="60F33A68"/>
    <w:rsid w:val="60F718F8"/>
    <w:rsid w:val="60F76E60"/>
    <w:rsid w:val="60F84BF9"/>
    <w:rsid w:val="61011190"/>
    <w:rsid w:val="61172A76"/>
    <w:rsid w:val="6119727D"/>
    <w:rsid w:val="611C4149"/>
    <w:rsid w:val="61217CBF"/>
    <w:rsid w:val="612516A9"/>
    <w:rsid w:val="61256D5C"/>
    <w:rsid w:val="61374F82"/>
    <w:rsid w:val="61414CD0"/>
    <w:rsid w:val="614836BD"/>
    <w:rsid w:val="61501533"/>
    <w:rsid w:val="61501841"/>
    <w:rsid w:val="61514893"/>
    <w:rsid w:val="615509FC"/>
    <w:rsid w:val="61574308"/>
    <w:rsid w:val="615C42D5"/>
    <w:rsid w:val="61646714"/>
    <w:rsid w:val="616E06E1"/>
    <w:rsid w:val="618048FA"/>
    <w:rsid w:val="6187299B"/>
    <w:rsid w:val="618C6F0A"/>
    <w:rsid w:val="618C7768"/>
    <w:rsid w:val="618F394F"/>
    <w:rsid w:val="619D004D"/>
    <w:rsid w:val="61A15F14"/>
    <w:rsid w:val="61A34313"/>
    <w:rsid w:val="61A566FB"/>
    <w:rsid w:val="61A76F97"/>
    <w:rsid w:val="61BC1427"/>
    <w:rsid w:val="61C47EAC"/>
    <w:rsid w:val="61C62F2B"/>
    <w:rsid w:val="61C76FE8"/>
    <w:rsid w:val="61CA1E79"/>
    <w:rsid w:val="61CB55AB"/>
    <w:rsid w:val="61CC17EC"/>
    <w:rsid w:val="61CF0031"/>
    <w:rsid w:val="61DA0328"/>
    <w:rsid w:val="61E215D8"/>
    <w:rsid w:val="61E60154"/>
    <w:rsid w:val="61E819E4"/>
    <w:rsid w:val="61F46DE7"/>
    <w:rsid w:val="61F96E5C"/>
    <w:rsid w:val="61FA2BD4"/>
    <w:rsid w:val="61FC3925"/>
    <w:rsid w:val="620003A5"/>
    <w:rsid w:val="62055244"/>
    <w:rsid w:val="6210466C"/>
    <w:rsid w:val="62144552"/>
    <w:rsid w:val="621A6DD3"/>
    <w:rsid w:val="621B3775"/>
    <w:rsid w:val="621D509A"/>
    <w:rsid w:val="622C1434"/>
    <w:rsid w:val="62302013"/>
    <w:rsid w:val="62306F99"/>
    <w:rsid w:val="62364782"/>
    <w:rsid w:val="6239739C"/>
    <w:rsid w:val="623B1366"/>
    <w:rsid w:val="623C22C4"/>
    <w:rsid w:val="623E6DFB"/>
    <w:rsid w:val="624D53FA"/>
    <w:rsid w:val="624F3DE5"/>
    <w:rsid w:val="625D547E"/>
    <w:rsid w:val="62610DE2"/>
    <w:rsid w:val="626230E9"/>
    <w:rsid w:val="62761C98"/>
    <w:rsid w:val="629833BF"/>
    <w:rsid w:val="629A7797"/>
    <w:rsid w:val="629C76FA"/>
    <w:rsid w:val="62A414BE"/>
    <w:rsid w:val="62A424A9"/>
    <w:rsid w:val="62AC0A64"/>
    <w:rsid w:val="62AC0EB1"/>
    <w:rsid w:val="62B114E5"/>
    <w:rsid w:val="62B1161E"/>
    <w:rsid w:val="62B5797C"/>
    <w:rsid w:val="62BB12C2"/>
    <w:rsid w:val="62C82C4C"/>
    <w:rsid w:val="62D245E3"/>
    <w:rsid w:val="62D376AD"/>
    <w:rsid w:val="62D62350"/>
    <w:rsid w:val="62E5311B"/>
    <w:rsid w:val="62EA0E9B"/>
    <w:rsid w:val="62F15D85"/>
    <w:rsid w:val="6300246C"/>
    <w:rsid w:val="63024E11"/>
    <w:rsid w:val="63045CEE"/>
    <w:rsid w:val="630A2FC8"/>
    <w:rsid w:val="63136717"/>
    <w:rsid w:val="63221551"/>
    <w:rsid w:val="634C6146"/>
    <w:rsid w:val="63530978"/>
    <w:rsid w:val="63534C92"/>
    <w:rsid w:val="63550CA0"/>
    <w:rsid w:val="635A2584"/>
    <w:rsid w:val="635D2BB9"/>
    <w:rsid w:val="6361210F"/>
    <w:rsid w:val="63666773"/>
    <w:rsid w:val="637C4B10"/>
    <w:rsid w:val="638F4759"/>
    <w:rsid w:val="639265BE"/>
    <w:rsid w:val="6394356A"/>
    <w:rsid w:val="63984E4E"/>
    <w:rsid w:val="639C6E76"/>
    <w:rsid w:val="63A64DC2"/>
    <w:rsid w:val="63A82B49"/>
    <w:rsid w:val="63AA6AAB"/>
    <w:rsid w:val="63AF14A5"/>
    <w:rsid w:val="63C2495B"/>
    <w:rsid w:val="63C61B2C"/>
    <w:rsid w:val="63D23D3B"/>
    <w:rsid w:val="63D40BE9"/>
    <w:rsid w:val="63DA7706"/>
    <w:rsid w:val="63DF2082"/>
    <w:rsid w:val="63E77A8A"/>
    <w:rsid w:val="63EE5A32"/>
    <w:rsid w:val="6401269B"/>
    <w:rsid w:val="64034B42"/>
    <w:rsid w:val="64102431"/>
    <w:rsid w:val="64127F7F"/>
    <w:rsid w:val="6417507B"/>
    <w:rsid w:val="641F6762"/>
    <w:rsid w:val="64262154"/>
    <w:rsid w:val="643067D3"/>
    <w:rsid w:val="643C23CA"/>
    <w:rsid w:val="64410F8F"/>
    <w:rsid w:val="645E744B"/>
    <w:rsid w:val="646B74A0"/>
    <w:rsid w:val="646C600B"/>
    <w:rsid w:val="64727A09"/>
    <w:rsid w:val="64740DC9"/>
    <w:rsid w:val="6481138B"/>
    <w:rsid w:val="64857EBB"/>
    <w:rsid w:val="648E2D03"/>
    <w:rsid w:val="649C698B"/>
    <w:rsid w:val="64A2676B"/>
    <w:rsid w:val="64A272AA"/>
    <w:rsid w:val="64A5243A"/>
    <w:rsid w:val="64A70DF2"/>
    <w:rsid w:val="64AA1D20"/>
    <w:rsid w:val="64B90208"/>
    <w:rsid w:val="64B960C0"/>
    <w:rsid w:val="64C02AAD"/>
    <w:rsid w:val="64C03C61"/>
    <w:rsid w:val="64C20D12"/>
    <w:rsid w:val="64C230B9"/>
    <w:rsid w:val="64C746B7"/>
    <w:rsid w:val="64CB7944"/>
    <w:rsid w:val="64CC762E"/>
    <w:rsid w:val="64DD2A65"/>
    <w:rsid w:val="64EF4547"/>
    <w:rsid w:val="64F531DE"/>
    <w:rsid w:val="64F8164D"/>
    <w:rsid w:val="650B6DDA"/>
    <w:rsid w:val="65142974"/>
    <w:rsid w:val="65162D07"/>
    <w:rsid w:val="651A1523"/>
    <w:rsid w:val="651F7FA5"/>
    <w:rsid w:val="65204644"/>
    <w:rsid w:val="65242442"/>
    <w:rsid w:val="652678B9"/>
    <w:rsid w:val="652B0BF6"/>
    <w:rsid w:val="652C7549"/>
    <w:rsid w:val="65313CF1"/>
    <w:rsid w:val="6536095F"/>
    <w:rsid w:val="65373578"/>
    <w:rsid w:val="654964D9"/>
    <w:rsid w:val="654E4BC5"/>
    <w:rsid w:val="65516FAF"/>
    <w:rsid w:val="655A7A43"/>
    <w:rsid w:val="6565166A"/>
    <w:rsid w:val="656B6D74"/>
    <w:rsid w:val="65737138"/>
    <w:rsid w:val="65744A4C"/>
    <w:rsid w:val="65755EBB"/>
    <w:rsid w:val="657A6506"/>
    <w:rsid w:val="657B5DDA"/>
    <w:rsid w:val="657D7DA4"/>
    <w:rsid w:val="65817895"/>
    <w:rsid w:val="658435A7"/>
    <w:rsid w:val="65846105"/>
    <w:rsid w:val="658562FB"/>
    <w:rsid w:val="65864EC7"/>
    <w:rsid w:val="658F35E5"/>
    <w:rsid w:val="65996495"/>
    <w:rsid w:val="65A167F7"/>
    <w:rsid w:val="65A3285C"/>
    <w:rsid w:val="65A45331"/>
    <w:rsid w:val="65AF163F"/>
    <w:rsid w:val="65B11E3A"/>
    <w:rsid w:val="65B92FB5"/>
    <w:rsid w:val="65BE5875"/>
    <w:rsid w:val="65BF72DB"/>
    <w:rsid w:val="65C1721B"/>
    <w:rsid w:val="65CB4FB4"/>
    <w:rsid w:val="65D00254"/>
    <w:rsid w:val="65E003C5"/>
    <w:rsid w:val="65E10AD4"/>
    <w:rsid w:val="65E17341"/>
    <w:rsid w:val="65E42D12"/>
    <w:rsid w:val="65E47E23"/>
    <w:rsid w:val="65E87914"/>
    <w:rsid w:val="660675B2"/>
    <w:rsid w:val="660758C0"/>
    <w:rsid w:val="661A71F1"/>
    <w:rsid w:val="661F0E5C"/>
    <w:rsid w:val="662A1CB6"/>
    <w:rsid w:val="662B4FA3"/>
    <w:rsid w:val="662E6976"/>
    <w:rsid w:val="66476476"/>
    <w:rsid w:val="66541AE4"/>
    <w:rsid w:val="665B07C9"/>
    <w:rsid w:val="66601170"/>
    <w:rsid w:val="666E363D"/>
    <w:rsid w:val="66703465"/>
    <w:rsid w:val="66743E5D"/>
    <w:rsid w:val="667635A4"/>
    <w:rsid w:val="667B1C98"/>
    <w:rsid w:val="667C6A4B"/>
    <w:rsid w:val="668F3673"/>
    <w:rsid w:val="669202FC"/>
    <w:rsid w:val="66945904"/>
    <w:rsid w:val="66951074"/>
    <w:rsid w:val="669E784D"/>
    <w:rsid w:val="66A21C9F"/>
    <w:rsid w:val="66A54CD5"/>
    <w:rsid w:val="66B141AA"/>
    <w:rsid w:val="66B515FF"/>
    <w:rsid w:val="66B647EC"/>
    <w:rsid w:val="66B96DB2"/>
    <w:rsid w:val="66BA30BC"/>
    <w:rsid w:val="66C937A4"/>
    <w:rsid w:val="66D044FF"/>
    <w:rsid w:val="66D170CA"/>
    <w:rsid w:val="66D41D04"/>
    <w:rsid w:val="66D85D09"/>
    <w:rsid w:val="66E04707"/>
    <w:rsid w:val="66E225B5"/>
    <w:rsid w:val="66E96B7E"/>
    <w:rsid w:val="66EF279F"/>
    <w:rsid w:val="66F0206D"/>
    <w:rsid w:val="66F110BA"/>
    <w:rsid w:val="66FD3AD4"/>
    <w:rsid w:val="67095D3F"/>
    <w:rsid w:val="671F124A"/>
    <w:rsid w:val="67292AA1"/>
    <w:rsid w:val="672C6EAE"/>
    <w:rsid w:val="6739698D"/>
    <w:rsid w:val="673D4915"/>
    <w:rsid w:val="67403953"/>
    <w:rsid w:val="67450645"/>
    <w:rsid w:val="675E5CA5"/>
    <w:rsid w:val="6760797E"/>
    <w:rsid w:val="67681263"/>
    <w:rsid w:val="676B7BA5"/>
    <w:rsid w:val="676E06E4"/>
    <w:rsid w:val="676E22AD"/>
    <w:rsid w:val="677467C4"/>
    <w:rsid w:val="67772AF7"/>
    <w:rsid w:val="677A33C6"/>
    <w:rsid w:val="6788784D"/>
    <w:rsid w:val="678907D8"/>
    <w:rsid w:val="67944506"/>
    <w:rsid w:val="67A23F58"/>
    <w:rsid w:val="67A82AAE"/>
    <w:rsid w:val="67B7506C"/>
    <w:rsid w:val="67BF1AC1"/>
    <w:rsid w:val="67C12B32"/>
    <w:rsid w:val="67C200C9"/>
    <w:rsid w:val="67C223E6"/>
    <w:rsid w:val="67D6379C"/>
    <w:rsid w:val="67E11097"/>
    <w:rsid w:val="67E93935"/>
    <w:rsid w:val="67EC2FBF"/>
    <w:rsid w:val="67F637B0"/>
    <w:rsid w:val="67FD1808"/>
    <w:rsid w:val="67FF68D0"/>
    <w:rsid w:val="68012E55"/>
    <w:rsid w:val="680447AD"/>
    <w:rsid w:val="68055615"/>
    <w:rsid w:val="680D04A1"/>
    <w:rsid w:val="681E3FC6"/>
    <w:rsid w:val="681F6961"/>
    <w:rsid w:val="682616EC"/>
    <w:rsid w:val="682F6229"/>
    <w:rsid w:val="683660F4"/>
    <w:rsid w:val="683E563C"/>
    <w:rsid w:val="684E4816"/>
    <w:rsid w:val="68610A2F"/>
    <w:rsid w:val="686D66F9"/>
    <w:rsid w:val="68711E29"/>
    <w:rsid w:val="68774FDA"/>
    <w:rsid w:val="68805514"/>
    <w:rsid w:val="68886FB4"/>
    <w:rsid w:val="68943691"/>
    <w:rsid w:val="689E292E"/>
    <w:rsid w:val="68A30F12"/>
    <w:rsid w:val="68A33FD5"/>
    <w:rsid w:val="68A57812"/>
    <w:rsid w:val="68A85CB1"/>
    <w:rsid w:val="68B05980"/>
    <w:rsid w:val="68C11C64"/>
    <w:rsid w:val="68C234FF"/>
    <w:rsid w:val="68C3635C"/>
    <w:rsid w:val="68C53844"/>
    <w:rsid w:val="68C766BB"/>
    <w:rsid w:val="68C7748E"/>
    <w:rsid w:val="68C7753C"/>
    <w:rsid w:val="68C87CAB"/>
    <w:rsid w:val="68E56767"/>
    <w:rsid w:val="68F75AA0"/>
    <w:rsid w:val="68F95994"/>
    <w:rsid w:val="69022482"/>
    <w:rsid w:val="690245E9"/>
    <w:rsid w:val="6905258B"/>
    <w:rsid w:val="690B27BC"/>
    <w:rsid w:val="691C04E7"/>
    <w:rsid w:val="69316E2F"/>
    <w:rsid w:val="694064A1"/>
    <w:rsid w:val="69490DE0"/>
    <w:rsid w:val="694A7D12"/>
    <w:rsid w:val="694E0C4A"/>
    <w:rsid w:val="694E2071"/>
    <w:rsid w:val="695232F6"/>
    <w:rsid w:val="695B1DB0"/>
    <w:rsid w:val="69634F4D"/>
    <w:rsid w:val="69635037"/>
    <w:rsid w:val="6967483F"/>
    <w:rsid w:val="697319D4"/>
    <w:rsid w:val="69766163"/>
    <w:rsid w:val="697A3B33"/>
    <w:rsid w:val="6982394F"/>
    <w:rsid w:val="69872FA0"/>
    <w:rsid w:val="698C274B"/>
    <w:rsid w:val="698C419E"/>
    <w:rsid w:val="698F1752"/>
    <w:rsid w:val="69A95739"/>
    <w:rsid w:val="69AA4777"/>
    <w:rsid w:val="69B919F2"/>
    <w:rsid w:val="69BA7ACF"/>
    <w:rsid w:val="69BB6869"/>
    <w:rsid w:val="69BE476E"/>
    <w:rsid w:val="69CE40DD"/>
    <w:rsid w:val="69D01B0F"/>
    <w:rsid w:val="69D02122"/>
    <w:rsid w:val="69D05FB2"/>
    <w:rsid w:val="69D44760"/>
    <w:rsid w:val="69DF4B8A"/>
    <w:rsid w:val="69F36BC9"/>
    <w:rsid w:val="69F771A1"/>
    <w:rsid w:val="69F81F2C"/>
    <w:rsid w:val="69FF2BD8"/>
    <w:rsid w:val="6A034B20"/>
    <w:rsid w:val="6A0C66C6"/>
    <w:rsid w:val="6A0D5B9B"/>
    <w:rsid w:val="6A22362D"/>
    <w:rsid w:val="6A240556"/>
    <w:rsid w:val="6A280CA2"/>
    <w:rsid w:val="6A295632"/>
    <w:rsid w:val="6A354923"/>
    <w:rsid w:val="6A376A8F"/>
    <w:rsid w:val="6A3A6208"/>
    <w:rsid w:val="6A4502CB"/>
    <w:rsid w:val="6A4F4F53"/>
    <w:rsid w:val="6A506508"/>
    <w:rsid w:val="6A520EC7"/>
    <w:rsid w:val="6A527A52"/>
    <w:rsid w:val="6A557ADE"/>
    <w:rsid w:val="6A615EE7"/>
    <w:rsid w:val="6A6449A7"/>
    <w:rsid w:val="6A654A34"/>
    <w:rsid w:val="6A6A0790"/>
    <w:rsid w:val="6A6B7D8A"/>
    <w:rsid w:val="6A737674"/>
    <w:rsid w:val="6A7508BF"/>
    <w:rsid w:val="6A7554EE"/>
    <w:rsid w:val="6A7774B8"/>
    <w:rsid w:val="6A7C687C"/>
    <w:rsid w:val="6A7D27DD"/>
    <w:rsid w:val="6A8C538F"/>
    <w:rsid w:val="6A9121E8"/>
    <w:rsid w:val="6A953AFD"/>
    <w:rsid w:val="6AA42993"/>
    <w:rsid w:val="6AA87672"/>
    <w:rsid w:val="6AAC490D"/>
    <w:rsid w:val="6AAF78BF"/>
    <w:rsid w:val="6AB042C6"/>
    <w:rsid w:val="6AB74C55"/>
    <w:rsid w:val="6AB91C5B"/>
    <w:rsid w:val="6ABE4997"/>
    <w:rsid w:val="6AC7011C"/>
    <w:rsid w:val="6AC75DD3"/>
    <w:rsid w:val="6AD52A67"/>
    <w:rsid w:val="6AE3784A"/>
    <w:rsid w:val="6AF47F8B"/>
    <w:rsid w:val="6AF87E20"/>
    <w:rsid w:val="6AFA3D3C"/>
    <w:rsid w:val="6AFA4841"/>
    <w:rsid w:val="6AFF5757"/>
    <w:rsid w:val="6B033527"/>
    <w:rsid w:val="6B07079F"/>
    <w:rsid w:val="6B0772E8"/>
    <w:rsid w:val="6B086027"/>
    <w:rsid w:val="6B1674F9"/>
    <w:rsid w:val="6B174F5D"/>
    <w:rsid w:val="6B1D50C4"/>
    <w:rsid w:val="6B321CF4"/>
    <w:rsid w:val="6B322639"/>
    <w:rsid w:val="6B3D27A5"/>
    <w:rsid w:val="6B4235ED"/>
    <w:rsid w:val="6B4F1947"/>
    <w:rsid w:val="6B552888"/>
    <w:rsid w:val="6B560E7C"/>
    <w:rsid w:val="6B620E21"/>
    <w:rsid w:val="6B685053"/>
    <w:rsid w:val="6B6A5D92"/>
    <w:rsid w:val="6B8579B3"/>
    <w:rsid w:val="6B877A7F"/>
    <w:rsid w:val="6B970512"/>
    <w:rsid w:val="6B9720D1"/>
    <w:rsid w:val="6BA41F2D"/>
    <w:rsid w:val="6BA660CE"/>
    <w:rsid w:val="6BAD32AD"/>
    <w:rsid w:val="6BB03E25"/>
    <w:rsid w:val="6BB53E28"/>
    <w:rsid w:val="6BBB17F4"/>
    <w:rsid w:val="6BDB425A"/>
    <w:rsid w:val="6BDB67BF"/>
    <w:rsid w:val="6BDF184D"/>
    <w:rsid w:val="6BE1690B"/>
    <w:rsid w:val="6BE73E28"/>
    <w:rsid w:val="6BF56A9C"/>
    <w:rsid w:val="6BF72D62"/>
    <w:rsid w:val="6BFC26E7"/>
    <w:rsid w:val="6BFD0863"/>
    <w:rsid w:val="6C0135B8"/>
    <w:rsid w:val="6C042FCD"/>
    <w:rsid w:val="6C061F17"/>
    <w:rsid w:val="6C0C4418"/>
    <w:rsid w:val="6C16685D"/>
    <w:rsid w:val="6C1877C1"/>
    <w:rsid w:val="6C354899"/>
    <w:rsid w:val="6C452244"/>
    <w:rsid w:val="6C49190E"/>
    <w:rsid w:val="6C4E5582"/>
    <w:rsid w:val="6C531A8F"/>
    <w:rsid w:val="6C5646D4"/>
    <w:rsid w:val="6C594FC6"/>
    <w:rsid w:val="6C5A58AF"/>
    <w:rsid w:val="6C621AA2"/>
    <w:rsid w:val="6C6278D7"/>
    <w:rsid w:val="6C636C38"/>
    <w:rsid w:val="6C6F2525"/>
    <w:rsid w:val="6C71344C"/>
    <w:rsid w:val="6C730C7E"/>
    <w:rsid w:val="6C74299A"/>
    <w:rsid w:val="6C786740"/>
    <w:rsid w:val="6C9174A8"/>
    <w:rsid w:val="6CAA11B2"/>
    <w:rsid w:val="6CAB3B7B"/>
    <w:rsid w:val="6CB87914"/>
    <w:rsid w:val="6CBC0E74"/>
    <w:rsid w:val="6CBF271F"/>
    <w:rsid w:val="6CBF2A65"/>
    <w:rsid w:val="6CC87873"/>
    <w:rsid w:val="6CD168F1"/>
    <w:rsid w:val="6CD60237"/>
    <w:rsid w:val="6CDA5ADC"/>
    <w:rsid w:val="6CDC481E"/>
    <w:rsid w:val="6CE07E51"/>
    <w:rsid w:val="6CEC20CB"/>
    <w:rsid w:val="6CF91DA8"/>
    <w:rsid w:val="6D033261"/>
    <w:rsid w:val="6D107750"/>
    <w:rsid w:val="6D112267"/>
    <w:rsid w:val="6D1300E1"/>
    <w:rsid w:val="6D144608"/>
    <w:rsid w:val="6D1755BC"/>
    <w:rsid w:val="6D1D1B56"/>
    <w:rsid w:val="6D1D204B"/>
    <w:rsid w:val="6D21195D"/>
    <w:rsid w:val="6D2F4E3E"/>
    <w:rsid w:val="6D301BA0"/>
    <w:rsid w:val="6D305556"/>
    <w:rsid w:val="6D390FA0"/>
    <w:rsid w:val="6D415945"/>
    <w:rsid w:val="6D41666A"/>
    <w:rsid w:val="6D4E0E29"/>
    <w:rsid w:val="6D58771D"/>
    <w:rsid w:val="6D657E27"/>
    <w:rsid w:val="6D6870A6"/>
    <w:rsid w:val="6D6E0E5F"/>
    <w:rsid w:val="6D793154"/>
    <w:rsid w:val="6D860499"/>
    <w:rsid w:val="6D966D26"/>
    <w:rsid w:val="6D9B04F6"/>
    <w:rsid w:val="6DA7324F"/>
    <w:rsid w:val="6DA922FE"/>
    <w:rsid w:val="6DAC1227"/>
    <w:rsid w:val="6DB34098"/>
    <w:rsid w:val="6DB545B6"/>
    <w:rsid w:val="6DB75D25"/>
    <w:rsid w:val="6DBA01E9"/>
    <w:rsid w:val="6DBB26D4"/>
    <w:rsid w:val="6DD02ED8"/>
    <w:rsid w:val="6DE02FB4"/>
    <w:rsid w:val="6DE56E2E"/>
    <w:rsid w:val="6DE84B0F"/>
    <w:rsid w:val="6DEC61BB"/>
    <w:rsid w:val="6DFA6FD9"/>
    <w:rsid w:val="6DFB08AF"/>
    <w:rsid w:val="6DFB0BDD"/>
    <w:rsid w:val="6E032E11"/>
    <w:rsid w:val="6E077319"/>
    <w:rsid w:val="6E0E2F0E"/>
    <w:rsid w:val="6E18257E"/>
    <w:rsid w:val="6E247617"/>
    <w:rsid w:val="6E2E7E8E"/>
    <w:rsid w:val="6E326B5A"/>
    <w:rsid w:val="6E510E3B"/>
    <w:rsid w:val="6E514CED"/>
    <w:rsid w:val="6E5D69C5"/>
    <w:rsid w:val="6E723FB7"/>
    <w:rsid w:val="6E760950"/>
    <w:rsid w:val="6EA103B0"/>
    <w:rsid w:val="6EA16804"/>
    <w:rsid w:val="6EB563D5"/>
    <w:rsid w:val="6EBD593A"/>
    <w:rsid w:val="6EBF521C"/>
    <w:rsid w:val="6EC407F2"/>
    <w:rsid w:val="6EC45C9D"/>
    <w:rsid w:val="6ED12341"/>
    <w:rsid w:val="6ED8429D"/>
    <w:rsid w:val="6ED92677"/>
    <w:rsid w:val="6EDA37DD"/>
    <w:rsid w:val="6EDF3DE0"/>
    <w:rsid w:val="6EED11F7"/>
    <w:rsid w:val="6EFF78C3"/>
    <w:rsid w:val="6F077DC3"/>
    <w:rsid w:val="6F0D277F"/>
    <w:rsid w:val="6F0F0C37"/>
    <w:rsid w:val="6F0F4163"/>
    <w:rsid w:val="6F0F46A5"/>
    <w:rsid w:val="6F103AE4"/>
    <w:rsid w:val="6F225983"/>
    <w:rsid w:val="6F2B1C2E"/>
    <w:rsid w:val="6F362BA4"/>
    <w:rsid w:val="6F3839EC"/>
    <w:rsid w:val="6F57741D"/>
    <w:rsid w:val="6F605817"/>
    <w:rsid w:val="6F74731B"/>
    <w:rsid w:val="6F8806C3"/>
    <w:rsid w:val="6F933F14"/>
    <w:rsid w:val="6F95384F"/>
    <w:rsid w:val="6F9838A8"/>
    <w:rsid w:val="6F996C49"/>
    <w:rsid w:val="6F9C02B8"/>
    <w:rsid w:val="6F9D6A40"/>
    <w:rsid w:val="6FA0785C"/>
    <w:rsid w:val="6FA36659"/>
    <w:rsid w:val="6FAC1C33"/>
    <w:rsid w:val="6FAD0780"/>
    <w:rsid w:val="6FC06D93"/>
    <w:rsid w:val="6FCF308C"/>
    <w:rsid w:val="6FD26F3F"/>
    <w:rsid w:val="6FDE58E3"/>
    <w:rsid w:val="6FF60D7C"/>
    <w:rsid w:val="6FFB7A49"/>
    <w:rsid w:val="6FFC5590"/>
    <w:rsid w:val="6FFF01F8"/>
    <w:rsid w:val="70006929"/>
    <w:rsid w:val="70022FBF"/>
    <w:rsid w:val="70031A4A"/>
    <w:rsid w:val="700A06AB"/>
    <w:rsid w:val="700A375A"/>
    <w:rsid w:val="700C41FF"/>
    <w:rsid w:val="700C637B"/>
    <w:rsid w:val="701D01BA"/>
    <w:rsid w:val="701F67E8"/>
    <w:rsid w:val="702C664F"/>
    <w:rsid w:val="70300C8A"/>
    <w:rsid w:val="704306A0"/>
    <w:rsid w:val="705378B6"/>
    <w:rsid w:val="705636CC"/>
    <w:rsid w:val="706A1311"/>
    <w:rsid w:val="706C7CBE"/>
    <w:rsid w:val="706D1DD0"/>
    <w:rsid w:val="706D79C5"/>
    <w:rsid w:val="70826CC3"/>
    <w:rsid w:val="70856B87"/>
    <w:rsid w:val="708936E1"/>
    <w:rsid w:val="708B4709"/>
    <w:rsid w:val="70902010"/>
    <w:rsid w:val="709260DA"/>
    <w:rsid w:val="709541F4"/>
    <w:rsid w:val="709A14E7"/>
    <w:rsid w:val="709C2771"/>
    <w:rsid w:val="709F70D6"/>
    <w:rsid w:val="70AE5BBA"/>
    <w:rsid w:val="70B55F0F"/>
    <w:rsid w:val="70B7118A"/>
    <w:rsid w:val="70BA7577"/>
    <w:rsid w:val="70CC64D4"/>
    <w:rsid w:val="70CE76C3"/>
    <w:rsid w:val="70D43BC0"/>
    <w:rsid w:val="70D527EE"/>
    <w:rsid w:val="70F21716"/>
    <w:rsid w:val="70F3716D"/>
    <w:rsid w:val="70F77336"/>
    <w:rsid w:val="70F80C27"/>
    <w:rsid w:val="70F815F7"/>
    <w:rsid w:val="70FD4E73"/>
    <w:rsid w:val="70FF1B06"/>
    <w:rsid w:val="71037BCD"/>
    <w:rsid w:val="711442FD"/>
    <w:rsid w:val="711E252D"/>
    <w:rsid w:val="71267DAF"/>
    <w:rsid w:val="712E13CD"/>
    <w:rsid w:val="713141C5"/>
    <w:rsid w:val="71392463"/>
    <w:rsid w:val="713E2ADE"/>
    <w:rsid w:val="714479C8"/>
    <w:rsid w:val="71452B13"/>
    <w:rsid w:val="71463DD4"/>
    <w:rsid w:val="714E22B7"/>
    <w:rsid w:val="714F6362"/>
    <w:rsid w:val="715719D0"/>
    <w:rsid w:val="71576585"/>
    <w:rsid w:val="715A0771"/>
    <w:rsid w:val="715B5300"/>
    <w:rsid w:val="715C2F93"/>
    <w:rsid w:val="71657988"/>
    <w:rsid w:val="716A5681"/>
    <w:rsid w:val="716E3A0B"/>
    <w:rsid w:val="716F25DF"/>
    <w:rsid w:val="71706A0F"/>
    <w:rsid w:val="71774D1B"/>
    <w:rsid w:val="717C014D"/>
    <w:rsid w:val="718552BA"/>
    <w:rsid w:val="71864A49"/>
    <w:rsid w:val="71927054"/>
    <w:rsid w:val="71A02317"/>
    <w:rsid w:val="71A363D3"/>
    <w:rsid w:val="71A55F09"/>
    <w:rsid w:val="71AA3CCF"/>
    <w:rsid w:val="71B032DD"/>
    <w:rsid w:val="71B6702C"/>
    <w:rsid w:val="71C54C78"/>
    <w:rsid w:val="71CF0695"/>
    <w:rsid w:val="71D27F8A"/>
    <w:rsid w:val="71D43643"/>
    <w:rsid w:val="71F03116"/>
    <w:rsid w:val="71F452A6"/>
    <w:rsid w:val="71F81B02"/>
    <w:rsid w:val="71F95AE4"/>
    <w:rsid w:val="720545D7"/>
    <w:rsid w:val="72060AE4"/>
    <w:rsid w:val="720A2F5B"/>
    <w:rsid w:val="72174624"/>
    <w:rsid w:val="721A2620"/>
    <w:rsid w:val="721B7937"/>
    <w:rsid w:val="721B7E1A"/>
    <w:rsid w:val="722053ED"/>
    <w:rsid w:val="72231CD3"/>
    <w:rsid w:val="7227666F"/>
    <w:rsid w:val="722F163C"/>
    <w:rsid w:val="72321C16"/>
    <w:rsid w:val="723929B5"/>
    <w:rsid w:val="723A222F"/>
    <w:rsid w:val="72440897"/>
    <w:rsid w:val="72461F5A"/>
    <w:rsid w:val="724759C2"/>
    <w:rsid w:val="72553024"/>
    <w:rsid w:val="725B0CFE"/>
    <w:rsid w:val="72695114"/>
    <w:rsid w:val="726D50AE"/>
    <w:rsid w:val="727111DC"/>
    <w:rsid w:val="727274C9"/>
    <w:rsid w:val="727A1223"/>
    <w:rsid w:val="727C3412"/>
    <w:rsid w:val="72842772"/>
    <w:rsid w:val="728575E1"/>
    <w:rsid w:val="72885EBF"/>
    <w:rsid w:val="72905CCD"/>
    <w:rsid w:val="72966949"/>
    <w:rsid w:val="729D1A86"/>
    <w:rsid w:val="729F16BA"/>
    <w:rsid w:val="72A9667D"/>
    <w:rsid w:val="72B2395D"/>
    <w:rsid w:val="72C76B03"/>
    <w:rsid w:val="72C962F5"/>
    <w:rsid w:val="72CF0886"/>
    <w:rsid w:val="72D15D76"/>
    <w:rsid w:val="72DD0DE1"/>
    <w:rsid w:val="72ED47BB"/>
    <w:rsid w:val="72F37AD5"/>
    <w:rsid w:val="72F441DB"/>
    <w:rsid w:val="730438B3"/>
    <w:rsid w:val="73045672"/>
    <w:rsid w:val="73084860"/>
    <w:rsid w:val="730D09BA"/>
    <w:rsid w:val="730E68C1"/>
    <w:rsid w:val="73122968"/>
    <w:rsid w:val="73141CBB"/>
    <w:rsid w:val="731F5D5E"/>
    <w:rsid w:val="73215389"/>
    <w:rsid w:val="732426BC"/>
    <w:rsid w:val="73243F55"/>
    <w:rsid w:val="7330169D"/>
    <w:rsid w:val="733C4C6D"/>
    <w:rsid w:val="735C7486"/>
    <w:rsid w:val="73756056"/>
    <w:rsid w:val="7375655F"/>
    <w:rsid w:val="73756BF5"/>
    <w:rsid w:val="737673E4"/>
    <w:rsid w:val="737C169B"/>
    <w:rsid w:val="737C26BC"/>
    <w:rsid w:val="73816FE1"/>
    <w:rsid w:val="73873C68"/>
    <w:rsid w:val="73890108"/>
    <w:rsid w:val="739044B5"/>
    <w:rsid w:val="739E190F"/>
    <w:rsid w:val="739E312F"/>
    <w:rsid w:val="73A762D1"/>
    <w:rsid w:val="73AA2CF2"/>
    <w:rsid w:val="73B8371E"/>
    <w:rsid w:val="73C471EF"/>
    <w:rsid w:val="73C51AD5"/>
    <w:rsid w:val="73C60B68"/>
    <w:rsid w:val="73C8113E"/>
    <w:rsid w:val="73D554E4"/>
    <w:rsid w:val="73DA3E1F"/>
    <w:rsid w:val="73E21E46"/>
    <w:rsid w:val="73EE3263"/>
    <w:rsid w:val="73EE6D27"/>
    <w:rsid w:val="73EF0B3E"/>
    <w:rsid w:val="740F187B"/>
    <w:rsid w:val="741E793C"/>
    <w:rsid w:val="742F2BB2"/>
    <w:rsid w:val="743216A9"/>
    <w:rsid w:val="74341A1C"/>
    <w:rsid w:val="7437474A"/>
    <w:rsid w:val="744C6437"/>
    <w:rsid w:val="744D39D1"/>
    <w:rsid w:val="744F05A4"/>
    <w:rsid w:val="74557D67"/>
    <w:rsid w:val="74571BEA"/>
    <w:rsid w:val="745E3944"/>
    <w:rsid w:val="74657A67"/>
    <w:rsid w:val="746A4FA7"/>
    <w:rsid w:val="747571D1"/>
    <w:rsid w:val="748D2485"/>
    <w:rsid w:val="748F41BF"/>
    <w:rsid w:val="749800CE"/>
    <w:rsid w:val="749E407B"/>
    <w:rsid w:val="74B7402D"/>
    <w:rsid w:val="74BE1106"/>
    <w:rsid w:val="74BF0840"/>
    <w:rsid w:val="74C474A2"/>
    <w:rsid w:val="74CC21AE"/>
    <w:rsid w:val="74CC500E"/>
    <w:rsid w:val="74D0578A"/>
    <w:rsid w:val="74D13C69"/>
    <w:rsid w:val="74D80B53"/>
    <w:rsid w:val="74DF26DD"/>
    <w:rsid w:val="74E35434"/>
    <w:rsid w:val="74E97484"/>
    <w:rsid w:val="74EF422A"/>
    <w:rsid w:val="74F0363E"/>
    <w:rsid w:val="750202C6"/>
    <w:rsid w:val="75025D95"/>
    <w:rsid w:val="75157CF3"/>
    <w:rsid w:val="751D7F16"/>
    <w:rsid w:val="751E278C"/>
    <w:rsid w:val="75243EC5"/>
    <w:rsid w:val="753605A1"/>
    <w:rsid w:val="753B10E2"/>
    <w:rsid w:val="75481DE5"/>
    <w:rsid w:val="754C3A6F"/>
    <w:rsid w:val="75580BCF"/>
    <w:rsid w:val="75581C94"/>
    <w:rsid w:val="755C1784"/>
    <w:rsid w:val="755C1C1F"/>
    <w:rsid w:val="755D5E28"/>
    <w:rsid w:val="75653C55"/>
    <w:rsid w:val="75656883"/>
    <w:rsid w:val="75665671"/>
    <w:rsid w:val="75671ED7"/>
    <w:rsid w:val="756D0242"/>
    <w:rsid w:val="7573221B"/>
    <w:rsid w:val="75740D03"/>
    <w:rsid w:val="758149E8"/>
    <w:rsid w:val="759222BB"/>
    <w:rsid w:val="75930F1E"/>
    <w:rsid w:val="759931E2"/>
    <w:rsid w:val="759C7903"/>
    <w:rsid w:val="75A13A9A"/>
    <w:rsid w:val="75A14535"/>
    <w:rsid w:val="75AA545E"/>
    <w:rsid w:val="75AD3D8E"/>
    <w:rsid w:val="75B570FE"/>
    <w:rsid w:val="75B85FE4"/>
    <w:rsid w:val="75C002DA"/>
    <w:rsid w:val="75D315F3"/>
    <w:rsid w:val="75D43626"/>
    <w:rsid w:val="75D7705D"/>
    <w:rsid w:val="75DD544C"/>
    <w:rsid w:val="75DF59F0"/>
    <w:rsid w:val="75F32CE3"/>
    <w:rsid w:val="75F75951"/>
    <w:rsid w:val="75FB55D5"/>
    <w:rsid w:val="760306B0"/>
    <w:rsid w:val="760360A4"/>
    <w:rsid w:val="760365B3"/>
    <w:rsid w:val="760477BE"/>
    <w:rsid w:val="761234E3"/>
    <w:rsid w:val="761A5D8C"/>
    <w:rsid w:val="7625248E"/>
    <w:rsid w:val="76274C53"/>
    <w:rsid w:val="7627528C"/>
    <w:rsid w:val="76285EEF"/>
    <w:rsid w:val="76312EB0"/>
    <w:rsid w:val="7635099D"/>
    <w:rsid w:val="764C405C"/>
    <w:rsid w:val="7652604A"/>
    <w:rsid w:val="765A174B"/>
    <w:rsid w:val="765C387C"/>
    <w:rsid w:val="765D2572"/>
    <w:rsid w:val="765D601B"/>
    <w:rsid w:val="76685F07"/>
    <w:rsid w:val="766D35B7"/>
    <w:rsid w:val="76790114"/>
    <w:rsid w:val="76937428"/>
    <w:rsid w:val="76957DFD"/>
    <w:rsid w:val="76993082"/>
    <w:rsid w:val="76A37DC5"/>
    <w:rsid w:val="76B77744"/>
    <w:rsid w:val="76BF2C95"/>
    <w:rsid w:val="76CB3C97"/>
    <w:rsid w:val="76D4359C"/>
    <w:rsid w:val="76EA44C0"/>
    <w:rsid w:val="76F63747"/>
    <w:rsid w:val="76FA1255"/>
    <w:rsid w:val="76FA4DD7"/>
    <w:rsid w:val="770D5EFE"/>
    <w:rsid w:val="771C4268"/>
    <w:rsid w:val="77211B1E"/>
    <w:rsid w:val="77237663"/>
    <w:rsid w:val="77274014"/>
    <w:rsid w:val="7734318F"/>
    <w:rsid w:val="7741506B"/>
    <w:rsid w:val="77581EB9"/>
    <w:rsid w:val="77665641"/>
    <w:rsid w:val="776C7C79"/>
    <w:rsid w:val="776E451A"/>
    <w:rsid w:val="777501C0"/>
    <w:rsid w:val="77756B2D"/>
    <w:rsid w:val="77762421"/>
    <w:rsid w:val="7780354A"/>
    <w:rsid w:val="7791472C"/>
    <w:rsid w:val="779F74EA"/>
    <w:rsid w:val="77A7676B"/>
    <w:rsid w:val="77AD24AB"/>
    <w:rsid w:val="77AF3B39"/>
    <w:rsid w:val="77B56B1F"/>
    <w:rsid w:val="77B6008A"/>
    <w:rsid w:val="77BA4E22"/>
    <w:rsid w:val="77C13A1E"/>
    <w:rsid w:val="77C237FA"/>
    <w:rsid w:val="77C37167"/>
    <w:rsid w:val="77C90B36"/>
    <w:rsid w:val="77CE3860"/>
    <w:rsid w:val="77D10952"/>
    <w:rsid w:val="77DF044B"/>
    <w:rsid w:val="77E912C9"/>
    <w:rsid w:val="77F8761B"/>
    <w:rsid w:val="77FC2DAB"/>
    <w:rsid w:val="780A3B40"/>
    <w:rsid w:val="780F09F4"/>
    <w:rsid w:val="780F6A7A"/>
    <w:rsid w:val="7816091F"/>
    <w:rsid w:val="78175E36"/>
    <w:rsid w:val="781E3976"/>
    <w:rsid w:val="78205674"/>
    <w:rsid w:val="78206EA2"/>
    <w:rsid w:val="78260CC4"/>
    <w:rsid w:val="78295609"/>
    <w:rsid w:val="782A3DBC"/>
    <w:rsid w:val="783250B8"/>
    <w:rsid w:val="78356BEE"/>
    <w:rsid w:val="78394F3D"/>
    <w:rsid w:val="78475568"/>
    <w:rsid w:val="78475692"/>
    <w:rsid w:val="784F7DF9"/>
    <w:rsid w:val="78541BEC"/>
    <w:rsid w:val="785B5B8E"/>
    <w:rsid w:val="785D2307"/>
    <w:rsid w:val="78610198"/>
    <w:rsid w:val="78671B30"/>
    <w:rsid w:val="788454C5"/>
    <w:rsid w:val="78857D6B"/>
    <w:rsid w:val="78857F88"/>
    <w:rsid w:val="789456D9"/>
    <w:rsid w:val="789E7E8E"/>
    <w:rsid w:val="78A90480"/>
    <w:rsid w:val="78AD331E"/>
    <w:rsid w:val="78AE178D"/>
    <w:rsid w:val="78B55EAA"/>
    <w:rsid w:val="78B63BA0"/>
    <w:rsid w:val="78B90098"/>
    <w:rsid w:val="78BD30EB"/>
    <w:rsid w:val="78BE0384"/>
    <w:rsid w:val="78CC7CBC"/>
    <w:rsid w:val="78CF226D"/>
    <w:rsid w:val="78D50F98"/>
    <w:rsid w:val="78DA7175"/>
    <w:rsid w:val="78E4179D"/>
    <w:rsid w:val="78F63502"/>
    <w:rsid w:val="79112653"/>
    <w:rsid w:val="79196F98"/>
    <w:rsid w:val="79224FDC"/>
    <w:rsid w:val="79283C8B"/>
    <w:rsid w:val="792C7F34"/>
    <w:rsid w:val="79303657"/>
    <w:rsid w:val="79315D2C"/>
    <w:rsid w:val="79316F62"/>
    <w:rsid w:val="79342133"/>
    <w:rsid w:val="793A3F6E"/>
    <w:rsid w:val="793D0474"/>
    <w:rsid w:val="79450781"/>
    <w:rsid w:val="794C38BE"/>
    <w:rsid w:val="794D0001"/>
    <w:rsid w:val="795E691A"/>
    <w:rsid w:val="796706F8"/>
    <w:rsid w:val="796926C2"/>
    <w:rsid w:val="79694CCA"/>
    <w:rsid w:val="796B643A"/>
    <w:rsid w:val="79706269"/>
    <w:rsid w:val="79895EF5"/>
    <w:rsid w:val="79913954"/>
    <w:rsid w:val="79921C19"/>
    <w:rsid w:val="7992658D"/>
    <w:rsid w:val="799851BD"/>
    <w:rsid w:val="799A32B7"/>
    <w:rsid w:val="799B2769"/>
    <w:rsid w:val="79A100AE"/>
    <w:rsid w:val="79A2605E"/>
    <w:rsid w:val="79A85301"/>
    <w:rsid w:val="79AB2CDA"/>
    <w:rsid w:val="79CB1E92"/>
    <w:rsid w:val="79CD4721"/>
    <w:rsid w:val="79E41586"/>
    <w:rsid w:val="79EA08B7"/>
    <w:rsid w:val="79EB164E"/>
    <w:rsid w:val="79EB1652"/>
    <w:rsid w:val="79F44681"/>
    <w:rsid w:val="79F75BC7"/>
    <w:rsid w:val="7A014333"/>
    <w:rsid w:val="7A130BD9"/>
    <w:rsid w:val="7A133156"/>
    <w:rsid w:val="7A181268"/>
    <w:rsid w:val="7A1E7165"/>
    <w:rsid w:val="7A2111EE"/>
    <w:rsid w:val="7A236D15"/>
    <w:rsid w:val="7A263997"/>
    <w:rsid w:val="7A3307F4"/>
    <w:rsid w:val="7A364017"/>
    <w:rsid w:val="7A3A15FD"/>
    <w:rsid w:val="7A4059B7"/>
    <w:rsid w:val="7A4078C7"/>
    <w:rsid w:val="7A446CA8"/>
    <w:rsid w:val="7A460C55"/>
    <w:rsid w:val="7A580C97"/>
    <w:rsid w:val="7A60374C"/>
    <w:rsid w:val="7A623CC6"/>
    <w:rsid w:val="7A643D7E"/>
    <w:rsid w:val="7A650763"/>
    <w:rsid w:val="7A6724BE"/>
    <w:rsid w:val="7A694EE5"/>
    <w:rsid w:val="7A7237F8"/>
    <w:rsid w:val="7A7E3F4B"/>
    <w:rsid w:val="7A8265E1"/>
    <w:rsid w:val="7A8633C2"/>
    <w:rsid w:val="7A903C7E"/>
    <w:rsid w:val="7A977CBE"/>
    <w:rsid w:val="7A993C1E"/>
    <w:rsid w:val="7AA339B1"/>
    <w:rsid w:val="7AAD11D2"/>
    <w:rsid w:val="7AB2620E"/>
    <w:rsid w:val="7AB40D7F"/>
    <w:rsid w:val="7AB462F6"/>
    <w:rsid w:val="7AC04563"/>
    <w:rsid w:val="7AC202DC"/>
    <w:rsid w:val="7ACC462C"/>
    <w:rsid w:val="7ACD6973"/>
    <w:rsid w:val="7AD134FB"/>
    <w:rsid w:val="7AD26045"/>
    <w:rsid w:val="7ADD63CA"/>
    <w:rsid w:val="7AE060A4"/>
    <w:rsid w:val="7AE41566"/>
    <w:rsid w:val="7AE504F5"/>
    <w:rsid w:val="7AF1018C"/>
    <w:rsid w:val="7AF532D6"/>
    <w:rsid w:val="7AFC4817"/>
    <w:rsid w:val="7B010096"/>
    <w:rsid w:val="7B013DA5"/>
    <w:rsid w:val="7B0258C5"/>
    <w:rsid w:val="7B075230"/>
    <w:rsid w:val="7B1540AF"/>
    <w:rsid w:val="7B1C1B78"/>
    <w:rsid w:val="7B1E600E"/>
    <w:rsid w:val="7B2C46A6"/>
    <w:rsid w:val="7B2E53B0"/>
    <w:rsid w:val="7B31501E"/>
    <w:rsid w:val="7B3908AD"/>
    <w:rsid w:val="7B432222"/>
    <w:rsid w:val="7B437E37"/>
    <w:rsid w:val="7B446F42"/>
    <w:rsid w:val="7B49630B"/>
    <w:rsid w:val="7B4C2E9C"/>
    <w:rsid w:val="7B525967"/>
    <w:rsid w:val="7B5E6E99"/>
    <w:rsid w:val="7B686D42"/>
    <w:rsid w:val="7B7315D6"/>
    <w:rsid w:val="7B747F7D"/>
    <w:rsid w:val="7B8413BC"/>
    <w:rsid w:val="7B841746"/>
    <w:rsid w:val="7B8559C7"/>
    <w:rsid w:val="7B8559C9"/>
    <w:rsid w:val="7B92462A"/>
    <w:rsid w:val="7B9616EA"/>
    <w:rsid w:val="7BA17981"/>
    <w:rsid w:val="7BA21EBB"/>
    <w:rsid w:val="7BAE6AB2"/>
    <w:rsid w:val="7BB134DD"/>
    <w:rsid w:val="7BB55CCD"/>
    <w:rsid w:val="7BF064FD"/>
    <w:rsid w:val="7BF14A1B"/>
    <w:rsid w:val="7BF52641"/>
    <w:rsid w:val="7BFB39FF"/>
    <w:rsid w:val="7BFD7CEA"/>
    <w:rsid w:val="7C0B7591"/>
    <w:rsid w:val="7C1010DC"/>
    <w:rsid w:val="7C1671F8"/>
    <w:rsid w:val="7C236EEC"/>
    <w:rsid w:val="7C243698"/>
    <w:rsid w:val="7C2C5E9F"/>
    <w:rsid w:val="7C2F301E"/>
    <w:rsid w:val="7C3E7C16"/>
    <w:rsid w:val="7C4E23CA"/>
    <w:rsid w:val="7C5012B6"/>
    <w:rsid w:val="7C6C5AC7"/>
    <w:rsid w:val="7C745605"/>
    <w:rsid w:val="7C7E6682"/>
    <w:rsid w:val="7C7F03B9"/>
    <w:rsid w:val="7C8217D9"/>
    <w:rsid w:val="7C84619D"/>
    <w:rsid w:val="7C8D56D0"/>
    <w:rsid w:val="7C8E3C46"/>
    <w:rsid w:val="7CAF4C2E"/>
    <w:rsid w:val="7CBF474E"/>
    <w:rsid w:val="7CC37FB3"/>
    <w:rsid w:val="7CC55E8F"/>
    <w:rsid w:val="7CC6544B"/>
    <w:rsid w:val="7CD5119A"/>
    <w:rsid w:val="7CDA3712"/>
    <w:rsid w:val="7CDB118E"/>
    <w:rsid w:val="7CE309DD"/>
    <w:rsid w:val="7CE30EA0"/>
    <w:rsid w:val="7CF14EA8"/>
    <w:rsid w:val="7CF46BE4"/>
    <w:rsid w:val="7CF52C2D"/>
    <w:rsid w:val="7CF972A7"/>
    <w:rsid w:val="7D0239FF"/>
    <w:rsid w:val="7D07647A"/>
    <w:rsid w:val="7D085A18"/>
    <w:rsid w:val="7D1C592B"/>
    <w:rsid w:val="7D2F1104"/>
    <w:rsid w:val="7D304276"/>
    <w:rsid w:val="7D3050C4"/>
    <w:rsid w:val="7D3108E2"/>
    <w:rsid w:val="7D423956"/>
    <w:rsid w:val="7D580A83"/>
    <w:rsid w:val="7D587DA9"/>
    <w:rsid w:val="7D5E40CD"/>
    <w:rsid w:val="7D6234F7"/>
    <w:rsid w:val="7D6A0556"/>
    <w:rsid w:val="7D6E61DA"/>
    <w:rsid w:val="7D761851"/>
    <w:rsid w:val="7D78061C"/>
    <w:rsid w:val="7D7C0FFF"/>
    <w:rsid w:val="7D810A81"/>
    <w:rsid w:val="7D8905FD"/>
    <w:rsid w:val="7D8C3FA8"/>
    <w:rsid w:val="7D984DAD"/>
    <w:rsid w:val="7DA727BC"/>
    <w:rsid w:val="7DB17D36"/>
    <w:rsid w:val="7DB40729"/>
    <w:rsid w:val="7DB57417"/>
    <w:rsid w:val="7DB65426"/>
    <w:rsid w:val="7DBE1863"/>
    <w:rsid w:val="7DC50BEF"/>
    <w:rsid w:val="7DCD56F2"/>
    <w:rsid w:val="7DD87512"/>
    <w:rsid w:val="7DE14F1D"/>
    <w:rsid w:val="7DE247F1"/>
    <w:rsid w:val="7DE312E7"/>
    <w:rsid w:val="7DE82677"/>
    <w:rsid w:val="7DE92023"/>
    <w:rsid w:val="7DF42193"/>
    <w:rsid w:val="7DF47D6D"/>
    <w:rsid w:val="7E022D3B"/>
    <w:rsid w:val="7E054175"/>
    <w:rsid w:val="7E09021B"/>
    <w:rsid w:val="7E0C3B55"/>
    <w:rsid w:val="7E173C10"/>
    <w:rsid w:val="7E176B90"/>
    <w:rsid w:val="7E221F5D"/>
    <w:rsid w:val="7E22496E"/>
    <w:rsid w:val="7E292F1A"/>
    <w:rsid w:val="7E2A38E8"/>
    <w:rsid w:val="7E3253BC"/>
    <w:rsid w:val="7E375921"/>
    <w:rsid w:val="7E3F671E"/>
    <w:rsid w:val="7E450BB9"/>
    <w:rsid w:val="7E485366"/>
    <w:rsid w:val="7E4A2486"/>
    <w:rsid w:val="7E5A6A7D"/>
    <w:rsid w:val="7E6F69DE"/>
    <w:rsid w:val="7E730848"/>
    <w:rsid w:val="7E750EF1"/>
    <w:rsid w:val="7E891994"/>
    <w:rsid w:val="7E90541B"/>
    <w:rsid w:val="7E971A7F"/>
    <w:rsid w:val="7E991FCF"/>
    <w:rsid w:val="7EA41C3D"/>
    <w:rsid w:val="7EA5762D"/>
    <w:rsid w:val="7EBD6FF0"/>
    <w:rsid w:val="7EC156E4"/>
    <w:rsid w:val="7EC562A6"/>
    <w:rsid w:val="7ED558A6"/>
    <w:rsid w:val="7ED564B5"/>
    <w:rsid w:val="7EE315E9"/>
    <w:rsid w:val="7EED192D"/>
    <w:rsid w:val="7EF13867"/>
    <w:rsid w:val="7F001CE7"/>
    <w:rsid w:val="7F052E8D"/>
    <w:rsid w:val="7F074F11"/>
    <w:rsid w:val="7F0D0382"/>
    <w:rsid w:val="7F0F4762"/>
    <w:rsid w:val="7F14567C"/>
    <w:rsid w:val="7F29153E"/>
    <w:rsid w:val="7F2D4A48"/>
    <w:rsid w:val="7F354993"/>
    <w:rsid w:val="7F3866CA"/>
    <w:rsid w:val="7F434E92"/>
    <w:rsid w:val="7F457F76"/>
    <w:rsid w:val="7F4868DB"/>
    <w:rsid w:val="7F492F4A"/>
    <w:rsid w:val="7F4A3DAA"/>
    <w:rsid w:val="7F5817DE"/>
    <w:rsid w:val="7F596D35"/>
    <w:rsid w:val="7F6D0863"/>
    <w:rsid w:val="7F740879"/>
    <w:rsid w:val="7F743B6E"/>
    <w:rsid w:val="7F7656AE"/>
    <w:rsid w:val="7F7D5B00"/>
    <w:rsid w:val="7F853A5D"/>
    <w:rsid w:val="7F8A3392"/>
    <w:rsid w:val="7F967F89"/>
    <w:rsid w:val="7F9C490E"/>
    <w:rsid w:val="7FA73F10"/>
    <w:rsid w:val="7FB77CF7"/>
    <w:rsid w:val="7FBF5819"/>
    <w:rsid w:val="7FC341AE"/>
    <w:rsid w:val="7FC64129"/>
    <w:rsid w:val="7FCA5EC2"/>
    <w:rsid w:val="7FD12327"/>
    <w:rsid w:val="7FE22FD7"/>
    <w:rsid w:val="7FE47E50"/>
    <w:rsid w:val="7FF00D6B"/>
    <w:rsid w:val="7FF14EDD"/>
    <w:rsid w:val="7FF57870"/>
    <w:rsid w:val="7FFD41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1"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11"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99"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autoRedefine/>
    <w:qFormat/>
    <w:locked/>
    <w:uiPriority w:val="0"/>
    <w:pPr>
      <w:keepNext/>
      <w:outlineLvl w:val="1"/>
    </w:pPr>
  </w:style>
  <w:style w:type="paragraph" w:styleId="4">
    <w:name w:val="heading 3"/>
    <w:basedOn w:val="1"/>
    <w:autoRedefine/>
    <w:qFormat/>
    <w:locked/>
    <w:uiPriority w:val="0"/>
    <w:pPr>
      <w:spacing w:before="100" w:beforeAutospacing="1" w:after="100" w:afterAutospacing="1"/>
      <w:jc w:val="left"/>
      <w:outlineLvl w:val="2"/>
    </w:pPr>
    <w:rPr>
      <w:rFonts w:hint="eastAsia" w:ascii="宋体" w:hAnsi="宋体"/>
      <w:b/>
      <w:bCs/>
      <w:kern w:val="0"/>
      <w:sz w:val="27"/>
      <w:szCs w:val="27"/>
    </w:rPr>
  </w:style>
  <w:style w:type="character" w:default="1" w:styleId="36">
    <w:name w:val="Default Paragraph Font"/>
    <w:autoRedefine/>
    <w:semiHidden/>
    <w:unhideWhenUsed/>
    <w:qFormat/>
    <w:uiPriority w:val="1"/>
  </w:style>
  <w:style w:type="table" w:default="1" w:styleId="34">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locked/>
    <w:uiPriority w:val="0"/>
    <w:pPr>
      <w:adjustRightInd w:val="0"/>
      <w:snapToGrid w:val="0"/>
      <w:spacing w:line="324" w:lineRule="auto"/>
      <w:ind w:firstLine="567"/>
      <w:textAlignment w:val="baseline"/>
    </w:pPr>
    <w:rPr>
      <w:rFonts w:ascii="Calibri" w:hAnsi="Calibri" w:eastAsia="仿宋_GB2312"/>
      <w:kern w:val="0"/>
      <w:sz w:val="30"/>
      <w:szCs w:val="20"/>
    </w:rPr>
  </w:style>
  <w:style w:type="paragraph" w:styleId="6">
    <w:name w:val="caption"/>
    <w:basedOn w:val="1"/>
    <w:next w:val="1"/>
    <w:autoRedefine/>
    <w:qFormat/>
    <w:locked/>
    <w:uiPriority w:val="0"/>
    <w:rPr>
      <w:rFonts w:ascii="Arial" w:hAnsi="Arial" w:eastAsia="黑体"/>
      <w:sz w:val="20"/>
    </w:rPr>
  </w:style>
  <w:style w:type="paragraph" w:styleId="7">
    <w:name w:val="Document Map"/>
    <w:basedOn w:val="1"/>
    <w:link w:val="98"/>
    <w:autoRedefine/>
    <w:qFormat/>
    <w:locked/>
    <w:uiPriority w:val="0"/>
    <w:rPr>
      <w:rFonts w:ascii="宋体"/>
      <w:sz w:val="18"/>
      <w:szCs w:val="18"/>
    </w:rPr>
  </w:style>
  <w:style w:type="paragraph" w:styleId="8">
    <w:name w:val="toa heading"/>
    <w:basedOn w:val="1"/>
    <w:next w:val="9"/>
    <w:autoRedefine/>
    <w:qFormat/>
    <w:locked/>
    <w:uiPriority w:val="0"/>
    <w:rPr>
      <w:rFonts w:ascii="Arial" w:hAnsi="Arial"/>
      <w:sz w:val="24"/>
    </w:rPr>
  </w:style>
  <w:style w:type="paragraph" w:styleId="9">
    <w:name w:val="Body Text First Indent"/>
    <w:basedOn w:val="10"/>
    <w:autoRedefine/>
    <w:qFormat/>
    <w:locked/>
    <w:uiPriority w:val="0"/>
    <w:pPr>
      <w:ind w:firstLine="420" w:firstLineChars="100"/>
    </w:pPr>
  </w:style>
  <w:style w:type="paragraph" w:styleId="10">
    <w:name w:val="Body Text"/>
    <w:basedOn w:val="1"/>
    <w:next w:val="1"/>
    <w:link w:val="43"/>
    <w:autoRedefine/>
    <w:qFormat/>
    <w:uiPriority w:val="0"/>
    <w:pPr>
      <w:widowControl/>
      <w:snapToGrid w:val="0"/>
      <w:spacing w:before="60" w:after="160" w:line="259" w:lineRule="auto"/>
      <w:ind w:right="113"/>
    </w:pPr>
    <w:rPr>
      <w:kern w:val="0"/>
      <w:sz w:val="18"/>
      <w:szCs w:val="20"/>
    </w:rPr>
  </w:style>
  <w:style w:type="paragraph" w:styleId="11">
    <w:name w:val="annotation text"/>
    <w:basedOn w:val="1"/>
    <w:link w:val="44"/>
    <w:autoRedefine/>
    <w:semiHidden/>
    <w:qFormat/>
    <w:uiPriority w:val="0"/>
    <w:pPr>
      <w:jc w:val="left"/>
    </w:pPr>
    <w:rPr>
      <w:kern w:val="0"/>
      <w:sz w:val="24"/>
      <w:szCs w:val="20"/>
    </w:rPr>
  </w:style>
  <w:style w:type="paragraph" w:styleId="12">
    <w:name w:val="Body Text Indent"/>
    <w:basedOn w:val="1"/>
    <w:next w:val="1"/>
    <w:link w:val="45"/>
    <w:autoRedefine/>
    <w:qFormat/>
    <w:uiPriority w:val="0"/>
    <w:pPr>
      <w:spacing w:after="120"/>
      <w:ind w:left="420" w:leftChars="200"/>
    </w:pPr>
    <w:rPr>
      <w:kern w:val="0"/>
      <w:sz w:val="24"/>
      <w:szCs w:val="20"/>
    </w:rPr>
  </w:style>
  <w:style w:type="paragraph" w:styleId="13">
    <w:name w:val="Block Text"/>
    <w:basedOn w:val="1"/>
    <w:next w:val="1"/>
    <w:autoRedefine/>
    <w:qFormat/>
    <w:locked/>
    <w:uiPriority w:val="0"/>
    <w:pPr>
      <w:ind w:left="46" w:leftChars="22" w:right="29" w:rightChars="14" w:firstLine="210" w:firstLineChars="100"/>
    </w:pPr>
    <w:rPr>
      <w:rFonts w:ascii="宋体" w:hAnsi="宋体"/>
      <w:color w:val="FF0000"/>
    </w:rPr>
  </w:style>
  <w:style w:type="paragraph" w:styleId="14">
    <w:name w:val="Plain Text"/>
    <w:basedOn w:val="1"/>
    <w:next w:val="15"/>
    <w:autoRedefine/>
    <w:qFormat/>
    <w:locked/>
    <w:uiPriority w:val="0"/>
    <w:rPr>
      <w:rFonts w:ascii="宋体" w:hAnsi="Courier New" w:cs="Courier New"/>
    </w:rPr>
  </w:style>
  <w:style w:type="paragraph" w:styleId="15">
    <w:name w:val="toc 9"/>
    <w:next w:val="1"/>
    <w:autoRedefine/>
    <w:qFormat/>
    <w:locked/>
    <w:uiPriority w:val="0"/>
    <w:pPr>
      <w:wordWrap w:val="0"/>
      <w:ind w:left="2975"/>
      <w:jc w:val="both"/>
    </w:pPr>
    <w:rPr>
      <w:rFonts w:ascii="Times New Roman" w:hAnsi="Times New Roman" w:eastAsia="宋体" w:cs="Times New Roman"/>
      <w:sz w:val="21"/>
      <w:szCs w:val="22"/>
      <w:lang w:val="en-US" w:eastAsia="zh-CN" w:bidi="ar-SA"/>
    </w:rPr>
  </w:style>
  <w:style w:type="paragraph" w:styleId="16">
    <w:name w:val="Date"/>
    <w:basedOn w:val="1"/>
    <w:next w:val="1"/>
    <w:link w:val="46"/>
    <w:autoRedefine/>
    <w:qFormat/>
    <w:uiPriority w:val="0"/>
    <w:pPr>
      <w:ind w:left="100" w:leftChars="2500"/>
    </w:pPr>
    <w:rPr>
      <w:kern w:val="0"/>
      <w:sz w:val="24"/>
      <w:szCs w:val="20"/>
    </w:rPr>
  </w:style>
  <w:style w:type="paragraph" w:styleId="17">
    <w:name w:val="Body Text Indent 2"/>
    <w:basedOn w:val="1"/>
    <w:next w:val="1"/>
    <w:autoRedefine/>
    <w:qFormat/>
    <w:locked/>
    <w:uiPriority w:val="0"/>
    <w:pPr>
      <w:spacing w:line="520" w:lineRule="exact"/>
      <w:ind w:firstLine="675"/>
    </w:pPr>
    <w:rPr>
      <w:rFonts w:ascii="宋体"/>
      <w:color w:val="000000"/>
      <w:sz w:val="28"/>
    </w:rPr>
  </w:style>
  <w:style w:type="paragraph" w:styleId="18">
    <w:name w:val="Balloon Text"/>
    <w:basedOn w:val="1"/>
    <w:link w:val="47"/>
    <w:autoRedefine/>
    <w:semiHidden/>
    <w:qFormat/>
    <w:uiPriority w:val="99"/>
    <w:rPr>
      <w:kern w:val="0"/>
      <w:sz w:val="18"/>
      <w:szCs w:val="20"/>
    </w:rPr>
  </w:style>
  <w:style w:type="paragraph" w:styleId="19">
    <w:name w:val="footer"/>
    <w:basedOn w:val="1"/>
    <w:link w:val="48"/>
    <w:autoRedefine/>
    <w:qFormat/>
    <w:uiPriority w:val="99"/>
    <w:pPr>
      <w:tabs>
        <w:tab w:val="center" w:pos="4153"/>
        <w:tab w:val="right" w:pos="8306"/>
      </w:tabs>
      <w:snapToGrid w:val="0"/>
      <w:jc w:val="left"/>
    </w:pPr>
    <w:rPr>
      <w:kern w:val="0"/>
      <w:sz w:val="18"/>
      <w:szCs w:val="20"/>
    </w:rPr>
  </w:style>
  <w:style w:type="paragraph" w:styleId="20">
    <w:name w:val="header"/>
    <w:basedOn w:val="1"/>
    <w:next w:val="21"/>
    <w:link w:val="49"/>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1">
    <w:name w:val="样式5"/>
    <w:basedOn w:val="22"/>
    <w:autoRedefine/>
    <w:qFormat/>
    <w:uiPriority w:val="0"/>
    <w:pPr>
      <w:numPr>
        <w:ilvl w:val="2"/>
        <w:numId w:val="1"/>
      </w:numPr>
      <w:tabs>
        <w:tab w:val="center" w:pos="4153"/>
        <w:tab w:val="right" w:pos="8306"/>
      </w:tabs>
      <w:ind w:left="0" w:firstLine="0"/>
    </w:pPr>
    <w:rPr>
      <w:sz w:val="18"/>
    </w:rPr>
  </w:style>
  <w:style w:type="paragraph" w:customStyle="1" w:styleId="22">
    <w:name w:val="样式2"/>
    <w:basedOn w:val="23"/>
    <w:autoRedefine/>
    <w:qFormat/>
    <w:uiPriority w:val="0"/>
    <w:pPr>
      <w:ind w:firstLine="533" w:firstLineChars="200"/>
    </w:pPr>
    <w:rPr>
      <w:bCs/>
      <w:color w:val="0000FF"/>
    </w:rPr>
  </w:style>
  <w:style w:type="paragraph" w:customStyle="1" w:styleId="23">
    <w:name w:val="正文 + 宋体"/>
    <w:basedOn w:val="1"/>
    <w:autoRedefine/>
    <w:qFormat/>
    <w:uiPriority w:val="0"/>
    <w:pPr>
      <w:snapToGrid w:val="0"/>
      <w:ind w:firstLine="648" w:firstLineChars="245"/>
    </w:pPr>
    <w:rPr>
      <w:rFonts w:ascii="宋体" w:hAnsi="宋体"/>
    </w:rPr>
  </w:style>
  <w:style w:type="paragraph" w:styleId="24">
    <w:name w:val="toc 1"/>
    <w:basedOn w:val="1"/>
    <w:next w:val="1"/>
    <w:autoRedefine/>
    <w:semiHidden/>
    <w:qFormat/>
    <w:locked/>
    <w:uiPriority w:val="0"/>
    <w:pPr>
      <w:jc w:val="left"/>
    </w:pPr>
    <w:rPr>
      <w:b/>
      <w:bCs/>
      <w:caps/>
      <w:sz w:val="20"/>
      <w:szCs w:val="20"/>
    </w:rPr>
  </w:style>
  <w:style w:type="paragraph" w:styleId="25">
    <w:name w:val="index heading"/>
    <w:basedOn w:val="1"/>
    <w:next w:val="26"/>
    <w:autoRedefine/>
    <w:qFormat/>
    <w:locked/>
    <w:uiPriority w:val="0"/>
    <w:rPr>
      <w:rFonts w:hint="eastAsia" w:ascii="Cambria" w:hAnsi="Cambria"/>
      <w:b/>
    </w:rPr>
  </w:style>
  <w:style w:type="paragraph" w:styleId="26">
    <w:name w:val="index 1"/>
    <w:basedOn w:val="1"/>
    <w:next w:val="1"/>
    <w:autoRedefine/>
    <w:qFormat/>
    <w:locked/>
    <w:uiPriority w:val="0"/>
  </w:style>
  <w:style w:type="paragraph" w:styleId="27">
    <w:name w:val="Subtitle"/>
    <w:basedOn w:val="1"/>
    <w:next w:val="1"/>
    <w:autoRedefine/>
    <w:qFormat/>
    <w:locked/>
    <w:uiPriority w:val="11"/>
    <w:pPr>
      <w:spacing w:before="240" w:after="60" w:line="312" w:lineRule="auto"/>
      <w:jc w:val="center"/>
      <w:outlineLvl w:val="1"/>
    </w:pPr>
    <w:rPr>
      <w:rFonts w:ascii="Cambria" w:hAnsi="Cambria"/>
      <w:b/>
      <w:bCs/>
      <w:kern w:val="28"/>
      <w:sz w:val="32"/>
      <w:szCs w:val="32"/>
    </w:rPr>
  </w:style>
  <w:style w:type="paragraph" w:styleId="28">
    <w:name w:val="List"/>
    <w:basedOn w:val="1"/>
    <w:autoRedefine/>
    <w:qFormat/>
    <w:locked/>
    <w:uiPriority w:val="0"/>
    <w:pPr>
      <w:ind w:left="200" w:hanging="200" w:hangingChars="200"/>
    </w:pPr>
  </w:style>
  <w:style w:type="paragraph" w:styleId="29">
    <w:name w:val="Body Text Indent 3"/>
    <w:basedOn w:val="1"/>
    <w:autoRedefine/>
    <w:qFormat/>
    <w:locked/>
    <w:uiPriority w:val="0"/>
    <w:pPr>
      <w:ind w:firstLine="698"/>
    </w:pPr>
    <w:rPr>
      <w:rFonts w:ascii="楷体_GB2312" w:eastAsia="楷体_GB2312"/>
      <w:sz w:val="24"/>
    </w:rPr>
  </w:style>
  <w:style w:type="paragraph" w:styleId="30">
    <w:name w:val="Normal (Web)"/>
    <w:basedOn w:val="1"/>
    <w:link w:val="50"/>
    <w:autoRedefine/>
    <w:qFormat/>
    <w:uiPriority w:val="0"/>
    <w:pPr>
      <w:widowControl/>
      <w:spacing w:before="100" w:beforeAutospacing="1" w:after="100" w:afterAutospacing="1"/>
      <w:jc w:val="left"/>
    </w:pPr>
    <w:rPr>
      <w:rFonts w:ascii="宋体" w:hAnsi="宋体"/>
      <w:kern w:val="0"/>
      <w:sz w:val="24"/>
      <w:szCs w:val="20"/>
    </w:rPr>
  </w:style>
  <w:style w:type="paragraph" w:styleId="31">
    <w:name w:val="Title"/>
    <w:basedOn w:val="1"/>
    <w:next w:val="1"/>
    <w:autoRedefine/>
    <w:qFormat/>
    <w:locked/>
    <w:uiPriority w:val="10"/>
    <w:pPr>
      <w:spacing w:before="240" w:after="60"/>
      <w:jc w:val="center"/>
      <w:outlineLvl w:val="0"/>
    </w:pPr>
    <w:rPr>
      <w:rFonts w:ascii="Cambria" w:hAnsi="Cambria"/>
      <w:b/>
      <w:bCs/>
      <w:sz w:val="32"/>
      <w:szCs w:val="32"/>
    </w:rPr>
  </w:style>
  <w:style w:type="paragraph" w:styleId="32">
    <w:name w:val="annotation subject"/>
    <w:basedOn w:val="11"/>
    <w:next w:val="1"/>
    <w:link w:val="51"/>
    <w:autoRedefine/>
    <w:semiHidden/>
    <w:qFormat/>
    <w:uiPriority w:val="0"/>
    <w:rPr>
      <w:b/>
      <w:kern w:val="2"/>
    </w:rPr>
  </w:style>
  <w:style w:type="paragraph" w:styleId="33">
    <w:name w:val="Body Text First Indent 2"/>
    <w:basedOn w:val="12"/>
    <w:next w:val="9"/>
    <w:autoRedefine/>
    <w:qFormat/>
    <w:locked/>
    <w:uiPriority w:val="0"/>
    <w:pPr>
      <w:ind w:firstLine="420"/>
    </w:pPr>
  </w:style>
  <w:style w:type="table" w:styleId="35">
    <w:name w:val="Table Grid"/>
    <w:basedOn w:val="3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autoRedefine/>
    <w:qFormat/>
    <w:locked/>
    <w:uiPriority w:val="0"/>
    <w:rPr>
      <w:b/>
    </w:rPr>
  </w:style>
  <w:style w:type="character" w:styleId="38">
    <w:name w:val="page number"/>
    <w:autoRedefine/>
    <w:qFormat/>
    <w:locked/>
    <w:uiPriority w:val="0"/>
  </w:style>
  <w:style w:type="character" w:styleId="39">
    <w:name w:val="FollowedHyperlink"/>
    <w:autoRedefine/>
    <w:qFormat/>
    <w:locked/>
    <w:uiPriority w:val="0"/>
    <w:rPr>
      <w:color w:val="800080"/>
      <w:u w:val="none"/>
    </w:rPr>
  </w:style>
  <w:style w:type="character" w:styleId="40">
    <w:name w:val="Emphasis"/>
    <w:autoRedefine/>
    <w:qFormat/>
    <w:locked/>
    <w:uiPriority w:val="0"/>
  </w:style>
  <w:style w:type="character" w:styleId="41">
    <w:name w:val="Hyperlink"/>
    <w:autoRedefine/>
    <w:qFormat/>
    <w:locked/>
    <w:uiPriority w:val="0"/>
    <w:rPr>
      <w:color w:val="0000FF"/>
      <w:u w:val="none"/>
    </w:rPr>
  </w:style>
  <w:style w:type="character" w:styleId="42">
    <w:name w:val="annotation reference"/>
    <w:autoRedefine/>
    <w:semiHidden/>
    <w:qFormat/>
    <w:uiPriority w:val="0"/>
    <w:rPr>
      <w:sz w:val="21"/>
    </w:rPr>
  </w:style>
  <w:style w:type="character" w:customStyle="1" w:styleId="43">
    <w:name w:val="正文文本 Char"/>
    <w:link w:val="10"/>
    <w:autoRedefine/>
    <w:qFormat/>
    <w:locked/>
    <w:uiPriority w:val="0"/>
    <w:rPr>
      <w:sz w:val="18"/>
    </w:rPr>
  </w:style>
  <w:style w:type="character" w:customStyle="1" w:styleId="44">
    <w:name w:val="批注文字 Char"/>
    <w:link w:val="11"/>
    <w:autoRedefine/>
    <w:qFormat/>
    <w:locked/>
    <w:uiPriority w:val="0"/>
    <w:rPr>
      <w:rFonts w:ascii="Times New Roman" w:hAnsi="Times New Roman" w:eastAsia="宋体"/>
      <w:sz w:val="24"/>
    </w:rPr>
  </w:style>
  <w:style w:type="character" w:customStyle="1" w:styleId="45">
    <w:name w:val="正文文本缩进 Char"/>
    <w:link w:val="12"/>
    <w:autoRedefine/>
    <w:semiHidden/>
    <w:qFormat/>
    <w:locked/>
    <w:uiPriority w:val="0"/>
    <w:rPr>
      <w:rFonts w:ascii="Times New Roman" w:hAnsi="Times New Roman" w:eastAsia="宋体"/>
      <w:sz w:val="24"/>
    </w:rPr>
  </w:style>
  <w:style w:type="character" w:customStyle="1" w:styleId="46">
    <w:name w:val="日期 Char"/>
    <w:link w:val="16"/>
    <w:autoRedefine/>
    <w:qFormat/>
    <w:locked/>
    <w:uiPriority w:val="0"/>
    <w:rPr>
      <w:rFonts w:ascii="Times New Roman" w:hAnsi="Times New Roman" w:eastAsia="宋体"/>
      <w:sz w:val="24"/>
    </w:rPr>
  </w:style>
  <w:style w:type="character" w:customStyle="1" w:styleId="47">
    <w:name w:val="批注框文本 Char"/>
    <w:link w:val="18"/>
    <w:autoRedefine/>
    <w:semiHidden/>
    <w:qFormat/>
    <w:locked/>
    <w:uiPriority w:val="99"/>
    <w:rPr>
      <w:rFonts w:ascii="Times New Roman" w:hAnsi="Times New Roman" w:eastAsia="宋体"/>
      <w:sz w:val="18"/>
    </w:rPr>
  </w:style>
  <w:style w:type="character" w:customStyle="1" w:styleId="48">
    <w:name w:val="页脚 Char"/>
    <w:link w:val="19"/>
    <w:autoRedefine/>
    <w:qFormat/>
    <w:locked/>
    <w:uiPriority w:val="99"/>
    <w:rPr>
      <w:sz w:val="18"/>
    </w:rPr>
  </w:style>
  <w:style w:type="character" w:customStyle="1" w:styleId="49">
    <w:name w:val="页眉 Char"/>
    <w:link w:val="20"/>
    <w:autoRedefine/>
    <w:qFormat/>
    <w:locked/>
    <w:uiPriority w:val="0"/>
    <w:rPr>
      <w:sz w:val="18"/>
    </w:rPr>
  </w:style>
  <w:style w:type="character" w:customStyle="1" w:styleId="50">
    <w:name w:val="普通(网站) Char"/>
    <w:link w:val="30"/>
    <w:autoRedefine/>
    <w:qFormat/>
    <w:locked/>
    <w:uiPriority w:val="0"/>
    <w:rPr>
      <w:rFonts w:ascii="宋体" w:hAnsi="宋体" w:eastAsia="宋体"/>
      <w:sz w:val="24"/>
    </w:rPr>
  </w:style>
  <w:style w:type="character" w:customStyle="1" w:styleId="51">
    <w:name w:val="批注主题 Char"/>
    <w:link w:val="32"/>
    <w:autoRedefine/>
    <w:semiHidden/>
    <w:qFormat/>
    <w:locked/>
    <w:uiPriority w:val="0"/>
    <w:rPr>
      <w:rFonts w:ascii="Times New Roman" w:hAnsi="Times New Roman" w:eastAsia="宋体"/>
      <w:b/>
      <w:kern w:val="2"/>
      <w:sz w:val="24"/>
    </w:rPr>
  </w:style>
  <w:style w:type="character" w:customStyle="1" w:styleId="52">
    <w:name w:val="znspantitle"/>
    <w:autoRedefine/>
    <w:qFormat/>
    <w:uiPriority w:val="0"/>
    <w:rPr>
      <w:b/>
      <w:bCs/>
      <w:color w:val="333333"/>
    </w:rPr>
  </w:style>
  <w:style w:type="character" w:customStyle="1" w:styleId="53">
    <w:name w:val="表格 Char"/>
    <w:link w:val="54"/>
    <w:autoRedefine/>
    <w:qFormat/>
    <w:locked/>
    <w:uiPriority w:val="0"/>
    <w:rPr>
      <w:rFonts w:ascii="宋体"/>
      <w:sz w:val="21"/>
    </w:rPr>
  </w:style>
  <w:style w:type="paragraph" w:customStyle="1" w:styleId="54">
    <w:name w:val="表格"/>
    <w:basedOn w:val="14"/>
    <w:next w:val="1"/>
    <w:link w:val="53"/>
    <w:autoRedefine/>
    <w:qFormat/>
    <w:uiPriority w:val="0"/>
    <w:pPr>
      <w:adjustRightInd w:val="0"/>
      <w:snapToGrid w:val="0"/>
      <w:spacing w:beforeLines="10" w:afterLines="10" w:line="259" w:lineRule="auto"/>
      <w:jc w:val="center"/>
    </w:pPr>
    <w:rPr>
      <w:kern w:val="0"/>
      <w:szCs w:val="20"/>
    </w:rPr>
  </w:style>
  <w:style w:type="character" w:customStyle="1" w:styleId="55">
    <w:name w:val="页脚 字符"/>
    <w:autoRedefine/>
    <w:qFormat/>
    <w:uiPriority w:val="99"/>
  </w:style>
  <w:style w:type="character" w:customStyle="1" w:styleId="56">
    <w:name w:val="fontstyle01"/>
    <w:autoRedefine/>
    <w:qFormat/>
    <w:uiPriority w:val="0"/>
    <w:rPr>
      <w:rFonts w:hint="eastAsia" w:ascii="宋体" w:hAnsi="宋体" w:eastAsia="宋体"/>
      <w:color w:val="000000"/>
      <w:sz w:val="24"/>
      <w:szCs w:val="24"/>
    </w:rPr>
  </w:style>
  <w:style w:type="character" w:customStyle="1" w:styleId="57">
    <w:name w:val="正文-ls Char Char"/>
    <w:link w:val="58"/>
    <w:autoRedefine/>
    <w:qFormat/>
    <w:uiPriority w:val="0"/>
    <w:rPr>
      <w:rFonts w:hAnsi="宋体" w:cs="宋体"/>
      <w:sz w:val="24"/>
    </w:rPr>
  </w:style>
  <w:style w:type="paragraph" w:customStyle="1" w:styleId="58">
    <w:name w:val="正文-ls"/>
    <w:basedOn w:val="1"/>
    <w:link w:val="57"/>
    <w:autoRedefine/>
    <w:qFormat/>
    <w:uiPriority w:val="0"/>
    <w:pPr>
      <w:spacing w:line="360" w:lineRule="auto"/>
      <w:ind w:firstLine="200" w:firstLineChars="200"/>
    </w:pPr>
    <w:rPr>
      <w:rFonts w:hAnsi="宋体" w:cs="宋体"/>
      <w:kern w:val="0"/>
      <w:sz w:val="24"/>
      <w:szCs w:val="20"/>
    </w:rPr>
  </w:style>
  <w:style w:type="character" w:customStyle="1" w:styleId="59">
    <w:name w:val="font21"/>
    <w:basedOn w:val="36"/>
    <w:autoRedefine/>
    <w:qFormat/>
    <w:uiPriority w:val="0"/>
    <w:rPr>
      <w:rFonts w:hint="default" w:ascii="Calibri" w:hAnsi="Calibri" w:cs="Calibri"/>
      <w:color w:val="000000"/>
      <w:sz w:val="24"/>
      <w:szCs w:val="24"/>
      <w:u w:val="none"/>
    </w:rPr>
  </w:style>
  <w:style w:type="character" w:customStyle="1" w:styleId="60">
    <w:name w:val="批注文字 字符1"/>
    <w:autoRedefine/>
    <w:semiHidden/>
    <w:qFormat/>
    <w:uiPriority w:val="0"/>
    <w:rPr>
      <w:rFonts w:ascii="Times New Roman" w:hAnsi="Times New Roman" w:eastAsia="宋体"/>
      <w:sz w:val="24"/>
    </w:rPr>
  </w:style>
  <w:style w:type="character" w:customStyle="1" w:styleId="61">
    <w:name w:val="font11"/>
    <w:basedOn w:val="36"/>
    <w:autoRedefine/>
    <w:qFormat/>
    <w:uiPriority w:val="0"/>
    <w:rPr>
      <w:rFonts w:hint="eastAsia" w:ascii="宋体" w:hAnsi="宋体" w:eastAsia="宋体" w:cs="宋体"/>
      <w:color w:val="000000"/>
      <w:sz w:val="24"/>
      <w:szCs w:val="24"/>
      <w:u w:val="none"/>
    </w:rPr>
  </w:style>
  <w:style w:type="character" w:customStyle="1" w:styleId="62">
    <w:name w:val="正文文本 字符1"/>
    <w:autoRedefine/>
    <w:semiHidden/>
    <w:qFormat/>
    <w:uiPriority w:val="0"/>
    <w:rPr>
      <w:rFonts w:ascii="Times New Roman" w:hAnsi="Times New Roman" w:eastAsia="宋体"/>
      <w:sz w:val="24"/>
    </w:rPr>
  </w:style>
  <w:style w:type="character" w:customStyle="1" w:styleId="63">
    <w:name w:val="日期 字符"/>
    <w:autoRedefine/>
    <w:semiHidden/>
    <w:qFormat/>
    <w:uiPriority w:val="0"/>
    <w:rPr>
      <w:rFonts w:ascii="Times New Roman" w:hAnsi="Times New Roman" w:eastAsia="宋体"/>
      <w:sz w:val="24"/>
    </w:rPr>
  </w:style>
  <w:style w:type="character" w:customStyle="1" w:styleId="64">
    <w:name w:val="disabled"/>
    <w:autoRedefine/>
    <w:qFormat/>
    <w:uiPriority w:val="0"/>
    <w:rPr>
      <w:vanish/>
    </w:rPr>
  </w:style>
  <w:style w:type="paragraph" w:customStyle="1" w:styleId="65">
    <w:name w:val="表头"/>
    <w:basedOn w:val="9"/>
    <w:autoRedefine/>
    <w:qFormat/>
    <w:uiPriority w:val="0"/>
    <w:pPr>
      <w:overflowPunct w:val="0"/>
      <w:autoSpaceDE w:val="0"/>
      <w:autoSpaceDN w:val="0"/>
      <w:adjustRightInd w:val="0"/>
      <w:spacing w:line="360" w:lineRule="auto"/>
      <w:ind w:firstLine="539" w:firstLineChars="0"/>
      <w:jc w:val="center"/>
      <w:textAlignment w:val="baseline"/>
    </w:pPr>
    <w:rPr>
      <w:rFonts w:eastAsia="黑体"/>
      <w:sz w:val="28"/>
    </w:rPr>
  </w:style>
  <w:style w:type="paragraph" w:customStyle="1" w:styleId="66">
    <w:name w:val="样式 仿宋_GB2312 四号 行距: 1.5 倍行距"/>
    <w:basedOn w:val="1"/>
    <w:autoRedefine/>
    <w:qFormat/>
    <w:uiPriority w:val="0"/>
    <w:pPr>
      <w:spacing w:line="360" w:lineRule="auto"/>
      <w:ind w:firstLine="560" w:firstLineChars="200"/>
    </w:pPr>
    <w:rPr>
      <w:rFonts w:ascii="仿宋_GB2312" w:hAnsi="Calibri" w:eastAsia="仿宋_GB2312" w:cs="宋体"/>
      <w:color w:val="000000"/>
      <w:sz w:val="28"/>
      <w:szCs w:val="20"/>
    </w:rPr>
  </w:style>
  <w:style w:type="paragraph" w:customStyle="1" w:styleId="67">
    <w:name w:val="样式 小四 红色 行距: 1.5 倍行距"/>
    <w:basedOn w:val="1"/>
    <w:next w:val="68"/>
    <w:autoRedefine/>
    <w:qFormat/>
    <w:uiPriority w:val="0"/>
    <w:pPr>
      <w:spacing w:line="360" w:lineRule="auto"/>
      <w:ind w:firstLine="480" w:firstLineChars="200"/>
    </w:pPr>
    <w:rPr>
      <w:rFonts w:cs="宋体"/>
      <w:color w:val="FF0000"/>
      <w:sz w:val="24"/>
      <w:szCs w:val="20"/>
    </w:rPr>
  </w:style>
  <w:style w:type="paragraph" w:customStyle="1" w:styleId="68">
    <w:name w:val="正文样式"/>
    <w:basedOn w:val="1"/>
    <w:autoRedefine/>
    <w:qFormat/>
    <w:uiPriority w:val="0"/>
    <w:pPr>
      <w:spacing w:line="360" w:lineRule="auto"/>
      <w:ind w:firstLine="480" w:firstLineChars="200"/>
    </w:pPr>
    <w:rPr>
      <w:rFonts w:ascii="宋体" w:hAnsi="宋体"/>
      <w:sz w:val="24"/>
      <w:szCs w:val="20"/>
    </w:rPr>
  </w:style>
  <w:style w:type="paragraph" w:customStyle="1" w:styleId="69">
    <w:name w:val="图表文字"/>
    <w:autoRedefine/>
    <w:qFormat/>
    <w:uiPriority w:val="0"/>
    <w:pPr>
      <w:widowControl w:val="0"/>
      <w:jc w:val="center"/>
    </w:pPr>
    <w:rPr>
      <w:rFonts w:ascii="Times New Roman" w:hAnsi="Times New Roman" w:eastAsia="宋体" w:cs="Times New Roman"/>
      <w:snapToGrid w:val="0"/>
      <w:kern w:val="2"/>
      <w:sz w:val="21"/>
      <w:szCs w:val="24"/>
      <w:lang w:val="en-US" w:eastAsia="zh-CN" w:bidi="ar-SA"/>
    </w:rPr>
  </w:style>
  <w:style w:type="paragraph" w:customStyle="1" w:styleId="70">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正文段落"/>
    <w:basedOn w:val="1"/>
    <w:autoRedefine/>
    <w:qFormat/>
    <w:uiPriority w:val="0"/>
    <w:pPr>
      <w:spacing w:line="360" w:lineRule="auto"/>
      <w:ind w:firstLine="200" w:firstLineChars="200"/>
    </w:pPr>
  </w:style>
  <w:style w:type="paragraph" w:customStyle="1" w:styleId="72">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3">
    <w:name w:val="正文表标题"/>
    <w:next w:val="72"/>
    <w:autoRedefine/>
    <w:qFormat/>
    <w:uiPriority w:val="0"/>
    <w:pPr>
      <w:spacing w:beforeLines="50" w:afterLines="50"/>
      <w:jc w:val="center"/>
    </w:pPr>
    <w:rPr>
      <w:rFonts w:ascii="Times New Roman" w:hAnsi="Times New Roman" w:eastAsia="黑体" w:cs="Times New Roman"/>
      <w:sz w:val="21"/>
      <w:lang w:val="en-US" w:eastAsia="zh-CN" w:bidi="ar-SA"/>
    </w:rPr>
  </w:style>
  <w:style w:type="paragraph" w:customStyle="1" w:styleId="74">
    <w:name w:val="表格文字"/>
    <w:basedOn w:val="1"/>
    <w:autoRedefine/>
    <w:qFormat/>
    <w:uiPriority w:val="0"/>
    <w:pPr>
      <w:snapToGrid w:val="0"/>
      <w:spacing w:line="360" w:lineRule="exact"/>
      <w:jc w:val="center"/>
    </w:pPr>
    <w:rPr>
      <w:kern w:val="0"/>
      <w:szCs w:val="20"/>
    </w:rPr>
  </w:style>
  <w:style w:type="paragraph" w:customStyle="1" w:styleId="75">
    <w:name w:val="样式 行距: 1.5 倍行距"/>
    <w:basedOn w:val="1"/>
    <w:autoRedefine/>
    <w:qFormat/>
    <w:uiPriority w:val="0"/>
    <w:pPr>
      <w:spacing w:line="480" w:lineRule="exact"/>
      <w:ind w:firstLine="200" w:firstLineChars="200"/>
    </w:pPr>
    <w:rPr>
      <w:szCs w:val="20"/>
    </w:rPr>
  </w:style>
  <w:style w:type="paragraph" w:customStyle="1" w:styleId="76">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77">
    <w:name w:val="No Spacing1"/>
    <w:basedOn w:val="1"/>
    <w:autoRedefine/>
    <w:qFormat/>
    <w:uiPriority w:val="1"/>
    <w:pPr>
      <w:spacing w:line="300" w:lineRule="auto"/>
      <w:ind w:firstLine="200" w:firstLineChars="200"/>
    </w:pPr>
  </w:style>
  <w:style w:type="paragraph" w:styleId="78">
    <w:name w:val="List Paragraph"/>
    <w:basedOn w:val="1"/>
    <w:autoRedefine/>
    <w:qFormat/>
    <w:uiPriority w:val="1"/>
    <w:pPr>
      <w:spacing w:before="1"/>
      <w:ind w:left="118" w:firstLine="480"/>
    </w:pPr>
    <w:rPr>
      <w:rFonts w:ascii="宋体" w:hAnsi="宋体" w:cs="宋体"/>
    </w:rPr>
  </w:style>
  <w:style w:type="paragraph" w:customStyle="1" w:styleId="79">
    <w:name w:val="正文1"/>
    <w:basedOn w:val="1"/>
    <w:autoRedefine/>
    <w:qFormat/>
    <w:uiPriority w:val="0"/>
    <w:pPr>
      <w:widowControl/>
    </w:pPr>
    <w:rPr>
      <w:szCs w:val="21"/>
    </w:rPr>
  </w:style>
  <w:style w:type="paragraph" w:customStyle="1" w:styleId="80">
    <w:name w:val="样式3"/>
    <w:basedOn w:val="28"/>
    <w:next w:val="10"/>
    <w:autoRedefine/>
    <w:qFormat/>
    <w:uiPriority w:val="0"/>
    <w:pPr>
      <w:snapToGrid w:val="0"/>
      <w:ind w:firstLine="539"/>
      <w:jc w:val="center"/>
    </w:pPr>
    <w:rPr>
      <w:rFonts w:ascii="黑体" w:hAnsi="宋体" w:eastAsia="黑体"/>
      <w:color w:val="000000"/>
    </w:rPr>
  </w:style>
  <w:style w:type="paragraph" w:customStyle="1" w:styleId="81">
    <w:name w:val="_Style 47"/>
    <w:basedOn w:val="10"/>
    <w:next w:val="9"/>
    <w:autoRedefine/>
    <w:qFormat/>
    <w:uiPriority w:val="0"/>
    <w:pPr>
      <w:widowControl w:val="0"/>
      <w:snapToGrid/>
      <w:spacing w:before="0" w:after="120" w:line="240" w:lineRule="auto"/>
      <w:ind w:right="0" w:firstLine="420" w:firstLineChars="100"/>
    </w:pPr>
    <w:rPr>
      <w:kern w:val="2"/>
      <w:sz w:val="21"/>
      <w:szCs w:val="24"/>
    </w:rPr>
  </w:style>
  <w:style w:type="paragraph" w:customStyle="1" w:styleId="82">
    <w:name w:val="样式1"/>
    <w:basedOn w:val="1"/>
    <w:next w:val="1"/>
    <w:autoRedefine/>
    <w:qFormat/>
    <w:uiPriority w:val="0"/>
    <w:pPr>
      <w:ind w:firstLine="462" w:firstLineChars="200"/>
    </w:pPr>
    <w:rPr>
      <w:rFonts w:ascii="宋体" w:hAnsi="宋体"/>
      <w:color w:val="000000"/>
    </w:rPr>
  </w:style>
  <w:style w:type="paragraph" w:customStyle="1" w:styleId="83">
    <w:name w:val="正文文本首行缩进 21"/>
    <w:basedOn w:val="12"/>
    <w:next w:val="1"/>
    <w:autoRedefine/>
    <w:qFormat/>
    <w:uiPriority w:val="0"/>
    <w:pPr>
      <w:ind w:firstLine="420" w:firstLineChars="200"/>
    </w:pPr>
  </w:style>
  <w:style w:type="paragraph" w:customStyle="1" w:styleId="84">
    <w:name w:val="Table Paragraph"/>
    <w:basedOn w:val="1"/>
    <w:autoRedefine/>
    <w:qFormat/>
    <w:uiPriority w:val="1"/>
    <w:pPr>
      <w:autoSpaceDE w:val="0"/>
      <w:autoSpaceDN w:val="0"/>
      <w:jc w:val="left"/>
    </w:pPr>
    <w:rPr>
      <w:rFonts w:ascii="Noto Sans CJK JP Regular" w:hAnsi="Noto Sans CJK JP Regular" w:eastAsia="Noto Sans CJK JP Regular" w:cs="Noto Sans CJK JP Regular"/>
      <w:kern w:val="0"/>
      <w:sz w:val="22"/>
      <w:szCs w:val="22"/>
      <w:lang w:val="zh-CN" w:bidi="zh-CN"/>
    </w:rPr>
  </w:style>
  <w:style w:type="paragraph" w:customStyle="1" w:styleId="85">
    <w:name w:val="7 表内文字"/>
    <w:basedOn w:val="1"/>
    <w:autoRedefine/>
    <w:qFormat/>
    <w:uiPriority w:val="0"/>
    <w:pPr>
      <w:adjustRightInd w:val="0"/>
      <w:snapToGrid w:val="0"/>
      <w:ind w:left="-140" w:leftChars="-50" w:right="-140" w:rightChars="-50"/>
      <w:jc w:val="center"/>
    </w:pPr>
    <w:rPr>
      <w:color w:val="0000FF"/>
      <w:kern w:val="0"/>
      <w:sz w:val="20"/>
      <w:szCs w:val="21"/>
    </w:rPr>
  </w:style>
  <w:style w:type="paragraph" w:customStyle="1" w:styleId="86">
    <w:name w:val="6-表头"/>
    <w:basedOn w:val="1"/>
    <w:autoRedefine/>
    <w:qFormat/>
    <w:uiPriority w:val="99"/>
    <w:pPr>
      <w:autoSpaceDE w:val="0"/>
      <w:autoSpaceDN w:val="0"/>
      <w:jc w:val="center"/>
    </w:pPr>
    <w:rPr>
      <w:rFonts w:ascii="Cambria Math" w:hAnsi="Cambria Math"/>
      <w:b/>
      <w:bCs/>
      <w:color w:val="0000FF"/>
      <w:sz w:val="24"/>
      <w:szCs w:val="21"/>
    </w:rPr>
  </w:style>
  <w:style w:type="paragraph" w:customStyle="1" w:styleId="87">
    <w:name w:val="Default"/>
    <w:basedOn w:val="88"/>
    <w:autoRedefine/>
    <w:qFormat/>
    <w:uiPriority w:val="0"/>
    <w:pPr>
      <w:widowControl w:val="0"/>
      <w:autoSpaceDE w:val="0"/>
      <w:autoSpaceDN w:val="0"/>
      <w:adjustRightInd w:val="0"/>
    </w:pPr>
    <w:rPr>
      <w:rFonts w:ascii="宋体" w:cs="宋体"/>
      <w:color w:val="000000"/>
      <w:sz w:val="24"/>
    </w:rPr>
  </w:style>
  <w:style w:type="paragraph" w:customStyle="1" w:styleId="88">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89">
    <w:name w:val="666666-正文"/>
    <w:basedOn w:val="1"/>
    <w:autoRedefine/>
    <w:qFormat/>
    <w:uiPriority w:val="0"/>
    <w:pPr>
      <w:spacing w:line="440" w:lineRule="exact"/>
      <w:ind w:firstLine="200" w:firstLineChars="200"/>
    </w:pPr>
    <w:rPr>
      <w:kern w:val="0"/>
      <w:szCs w:val="20"/>
      <w:lang w:val="zh-CN"/>
    </w:rPr>
  </w:style>
  <w:style w:type="paragraph" w:styleId="90">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91">
    <w:name w:val="样式6"/>
    <w:basedOn w:val="1"/>
    <w:autoRedefine/>
    <w:qFormat/>
    <w:uiPriority w:val="0"/>
    <w:pPr>
      <w:ind w:firstLine="462" w:firstLineChars="200"/>
    </w:pPr>
    <w:rPr>
      <w:rFonts w:hAnsi="宋体"/>
      <w:color w:val="0000FF"/>
    </w:rPr>
  </w:style>
  <w:style w:type="paragraph" w:customStyle="1" w:styleId="92">
    <w:name w:val="pa-2"/>
    <w:basedOn w:val="1"/>
    <w:autoRedefine/>
    <w:qFormat/>
    <w:uiPriority w:val="0"/>
    <w:pPr>
      <w:widowControl/>
      <w:spacing w:line="320" w:lineRule="atLeast"/>
      <w:ind w:firstLine="580"/>
    </w:pPr>
    <w:rPr>
      <w:rFonts w:ascii="宋体" w:hAnsi="宋体" w:cs="宋体"/>
      <w:kern w:val="0"/>
    </w:rPr>
  </w:style>
  <w:style w:type="paragraph" w:customStyle="1" w:styleId="93">
    <w:name w:val="正文 New New New New New New New New New New New New New New New New New New New New New New New New New New New New New New New New New New New New New New New New New New New New New New New New New New New New New New New New New New New New New New 3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正文首行缩进-修改"/>
    <w:basedOn w:val="1"/>
    <w:autoRedefine/>
    <w:qFormat/>
    <w:uiPriority w:val="0"/>
    <w:pPr>
      <w:spacing w:line="360" w:lineRule="auto"/>
      <w:ind w:firstLine="480" w:firstLineChars="200"/>
    </w:pPr>
    <w:rPr>
      <w:sz w:val="24"/>
    </w:rPr>
  </w:style>
  <w:style w:type="table" w:customStyle="1" w:styleId="95">
    <w:name w:val="Table Normal"/>
    <w:autoRedefine/>
    <w:unhideWhenUsed/>
    <w:qFormat/>
    <w:uiPriority w:val="2"/>
    <w:tblPr>
      <w:tblCellMar>
        <w:top w:w="0" w:type="dxa"/>
        <w:left w:w="0" w:type="dxa"/>
        <w:bottom w:w="0" w:type="dxa"/>
        <w:right w:w="0" w:type="dxa"/>
      </w:tblCellMar>
    </w:tblPr>
  </w:style>
  <w:style w:type="character" w:customStyle="1" w:styleId="96">
    <w:name w:val="font61"/>
    <w:basedOn w:val="36"/>
    <w:autoRedefine/>
    <w:qFormat/>
    <w:uiPriority w:val="0"/>
    <w:rPr>
      <w:rFonts w:hint="default" w:ascii="Times New Roman" w:hAnsi="Times New Roman" w:cs="Times New Roman"/>
      <w:color w:val="000000"/>
      <w:sz w:val="22"/>
      <w:szCs w:val="22"/>
      <w:u w:val="none"/>
    </w:rPr>
  </w:style>
  <w:style w:type="paragraph" w:customStyle="1" w:styleId="97">
    <w:name w:val="Hu表内"/>
    <w:basedOn w:val="1"/>
    <w:autoRedefine/>
    <w:qFormat/>
    <w:uiPriority w:val="0"/>
    <w:pPr>
      <w:adjustRightInd w:val="0"/>
      <w:spacing w:line="240" w:lineRule="atLeast"/>
      <w:textAlignment w:val="baseline"/>
    </w:pPr>
    <w:rPr>
      <w:rFonts w:ascii="宋体" w:hAnsi="宋体"/>
      <w:kern w:val="0"/>
      <w:sz w:val="24"/>
      <w:szCs w:val="20"/>
    </w:rPr>
  </w:style>
  <w:style w:type="character" w:customStyle="1" w:styleId="98">
    <w:name w:val="文档结构图 Char"/>
    <w:basedOn w:val="36"/>
    <w:link w:val="7"/>
    <w:autoRedefine/>
    <w:qFormat/>
    <w:uiPriority w:val="0"/>
    <w:rPr>
      <w:rFonts w:ascii="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wmf"/><Relationship Id="rId25" Type="http://schemas.openxmlformats.org/officeDocument/2006/relationships/oleObject" Target="embeddings/oleObject6.bin"/><Relationship Id="rId24" Type="http://schemas.openxmlformats.org/officeDocument/2006/relationships/image" Target="media/image10.wmf"/><Relationship Id="rId23" Type="http://schemas.openxmlformats.org/officeDocument/2006/relationships/oleObject" Target="embeddings/oleObject5.bin"/><Relationship Id="rId22" Type="http://schemas.openxmlformats.org/officeDocument/2006/relationships/image" Target="media/image9.wmf"/><Relationship Id="rId21" Type="http://schemas.openxmlformats.org/officeDocument/2006/relationships/oleObject" Target="embeddings/oleObject4.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3.bin"/><Relationship Id="rId17" Type="http://schemas.openxmlformats.org/officeDocument/2006/relationships/image" Target="media/image6.emf"/><Relationship Id="rId16" Type="http://schemas.openxmlformats.org/officeDocument/2006/relationships/oleObject" Target="embeddings/oleObject2.bin"/><Relationship Id="rId15" Type="http://schemas.openxmlformats.org/officeDocument/2006/relationships/image" Target="media/image5.emf"/><Relationship Id="rId14" Type="http://schemas.openxmlformats.org/officeDocument/2006/relationships/oleObject" Target="embeddings/oleObject1.bin"/><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71</Pages>
  <Words>7728</Words>
  <Characters>44050</Characters>
  <Lines>367</Lines>
  <Paragraphs>103</Paragraphs>
  <TotalTime>52</TotalTime>
  <ScaleCrop>false</ScaleCrop>
  <LinksUpToDate>false</LinksUpToDate>
  <CharactersWithSpaces>51675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苟鹏飞</cp:lastModifiedBy>
  <cp:lastPrinted>2022-01-20T03:31:00Z</cp:lastPrinted>
  <dcterms:modified xsi:type="dcterms:W3CDTF">2024-01-30T23:59:10Z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668D39E7721D4BB192672E226D575ABB_13</vt:lpwstr>
  </property>
</Properties>
</file>